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LB230036 vom 14. November 2023</w:t>
      </w:r>
    </w:p>
    <w:p>
      <w:r>
        <w:t>ZH Obergericht, 2023-11-14, DE</w:t>
      </w:r>
    </w:p>
    <w:p>
      <w:r>
        <w:rPr>
          <w:b/>
        </w:rPr>
        <w:t xml:space="preserve">Quelle: </w:t>
      </w:r>
      <w:r>
        <w:t>https://mcp.opencaselaw.ch/entscheid/zh_obergericht_LB230036</w:t>
      </w:r>
    </w:p>
    <w:p>
      <w:r>
        <w:t>FR: ZH_OBERGERICHT LB230036 du 14 novembre 2023</w:t>
      </w:r>
    </w:p>
    <w:p>
      <w:r>
        <w:t>IT: ZH_OBERGERICHT LB230036 del 14 novembre 2023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a) Mit Urteil vom 29. August 2023 verpflichtete das Bezirksgericht Zürich (Vorinstanz) den Beklagten zur Zahlung von Fr. 200'000.-- nebst 5 % Zins seit 26. Juli 2018 an die Klägerin und hob in diesem Umfang den Rechtsvorschlag in der Betreibung Nr. … des Betreibungsamts Zürich 11 (Zahlungsbefehl vom 31. Juli 2018) auf (Urk. 32). b) Gegen dieses Urteil erhob der Beklagte am 2. Oktober 2023 fristge- recht (vgl. Urk. 29: Zustellung am 1. September 2023) Berufung und stellte die folgenden Berufungsanträge (Urk. 31 S. 2). "1. Das Urteil des Bezirksgerichts Zürich vom 29. August 2023 (Geschäfts- Nr.: CG220037-L) sei vollumfänglich aufzuheben; eventualiter sei es im Sinne der Erwägungen dieser Berufung zu neuem Entscheid an Erstin- stanz zurückzuweisen.</w:t>
      </w:r>
    </w:p>
    <w:p>
      <w:r>
        <w:rPr>
          <w:b/>
        </w:rPr>
        <w:t>E. 2</w:t>
      </w:r>
    </w:p>
    <w:p>
      <w:r>
        <w:t>a) Das Berufungsverfahren beschlägt eine vermögensrechtliche An- gelegenheit mit einem Streitwert von Fr. 200'000.--. Die zweitinstanzliche Ent- scheidgebühr ist in Anwendung von § 4 Abs. 1 und Abs. 2 sowie § 12 der Ge- richtsgebührenverordnung auf Fr. 1'500.-- festzusetzen. b) Die Gerichtskosten des Berufungsverfahrens sind ausgangsgemäss dem Beklagten aufzuerlegen (Art. 106 Abs. 1 ZPO). c) Für das Berufungsverfahren sind keine Parteientschädigungen zuzu- sprechen, dem Beklagten zufolge seines Unterliegens, der Klägerin mangels rele- vanter Aufwendungen (Art. 106 Abs. 1, Art. 95 Abs. 3 ZPO). Es wird beschlossen: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