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LB210050 vom 28. Oktober 2022</w:t>
      </w:r>
    </w:p>
    <w:p>
      <w:r>
        <w:t>ZH Obergericht, 2022-10-28, DE</w:t>
      </w:r>
    </w:p>
    <w:p>
      <w:r>
        <w:rPr>
          <w:b/>
        </w:rPr>
        <w:t xml:space="preserve">Quelle: </w:t>
      </w:r>
      <w:r>
        <w:t>https://mcp.opencaselaw.ch/entscheid/zh_obergericht_LB210050</w:t>
      </w:r>
    </w:p>
    <w:p>
      <w:r>
        <w:t>FR: ZH_OBERGERICHT LB210050 du 28 octobre 2022</w:t>
      </w:r>
    </w:p>
    <w:p>
      <w:r>
        <w:t>IT: ZH_OBERGERICHT LB210050 del 28 ottobre 2022</w:t>
      </w:r>
    </w:p>
    <w:p>
      <w:pPr>
        <w:pStyle w:val="Heading2"/>
      </w:pPr>
      <w:r>
        <w:t>Erwägungen</w:t>
      </w:r>
    </w:p>
    <w:p>
      <w:r>
        <w:rPr>
          <w:b/>
        </w:rPr>
        <w:t>E. 2</w:t>
      </w:r>
    </w:p>
    <w:p>
      <w:r>
        <w:t>Mit Eingabe vom 3. Juni 2020 erhob die Klägerin Klage gegen die drei Be- klagten mit dem eingangs wiedergegebenen Rechtsbegehren. Sie macht damit</w:t>
      </w:r>
    </w:p>
    <w:p>
      <w:r>
        <w:t>- 5 - die Forderung gemäss dem gegen die D'._____ GmbH ergangenen Urteil des Bezirksgerichts Baden vom 5. Juni 2019 geltend und geht dabei kurz gefasst da- von aus, dass die von Lehre und Rechtsprechung etablierten Voraussetzungen für eine Durchgriffshaftung der Beklagten 1 und 2 als ehemalige Eigentümer der D'._____ GmbH und der Beklagten 3, bei der es sich um eine vorgeschobene ju- ristische Person handle, erfüllt sind (Urk. 2; Urk. 21; Prot. I S. 8, 11 f.). Die Be- klagten widersprechen dem und erheben zudem Einwände und die Einrede der Verrechnung gegen die Forderung an sich (Urk. 9 Rz 32 ff.; Prot. I S. 9 ff., 12 f.).</w:t>
      </w:r>
    </w:p>
    <w:p>
      <w:r>
        <w:rPr>
          <w:b/>
        </w:rPr>
        <w:t>E. 3</w:t>
      </w:r>
    </w:p>
    <w:p>
      <w:r>
        <w:t>sei vorgenommen worden, ohne dass hierfür eine korrelierende geldwerte Ent- schädigung geleistet worden sei. Bei diesen Behauptungen handelt es sich um Noven. Solche können im Berufungsverfahren nur unter den Voraussetzungen von Art. 317 Abs. 1 ZPO berücksichtigt werden. Dabei hat, wer sich auf (insbe- sondere unechte) Noven beruft, deren Zulässigkeit darzutun (vgl. BGer 5A_330/2013 vom 24.9.2013, E. 3.5.1; BGer 5A_266/2015 vom 24.6.2015, E. 3.2.2., je m.w.H.). Das hat die Klägerin nicht getan. Ihre im Berufungsverfahren neu vorgetragenen Behauptungen sind daher von Vornherein unbeachtlich. Ob die Behauptungen den Anforderungen an die Substantiierung (namentlich im Licht von Art. 959 Abs. 2 OR) genügen würden, kann offenbleiben. Sie wurden von den Beklagten im Übrigen bestritten (Urk. 35 Rz 34-47). Aus den von der Klägerin herangezogenen äusseren Umständen kann entgegen ihrer Auffassung nicht oh- ne Weiteres auf eine Vermögensübertragung ohne angemessene Gegenleistung geschlossen werden (E. III.4.3.1). Beweismittel für ihre neuen Behauptungen nennt die Klägerin jedoch nicht. Auch sie hätten folglich als unbewiesen zu gelten, sofern sie - was offenbleiben kann - für den Ausgang des Verfahrens überhaupt relevant wären (vgl. die Einwände der Beklagten in Urk. 35 Rz 37-45). 4.3.3 Soweit die Klägerin im Berufungsverfahren betont, dass die D'._____ GmbH ohne Organisationsmangel nicht in Konkurs gegangen wäre bzw. auch unter der Annahme, dass die Gesellschaft nicht mehr überlebensfähig gewesen wäre, das Vollstreckungsverfahren anders verlaufen wäre, bleibt unklar, was sie daraus für</w:t>
      </w:r>
    </w:p>
    <w:p>
      <w:r>
        <w:t>- 22 - die hier interessierende Frage genau schliessen möchte. Ob ein Vollstreckungs- verfahren für einen Gläubiger damit endet, dass er für seine Forderung befriedigt wird, hängt allein vom vorhandenen Gesellschaftsvermögen bzw. dem Haftungs- substrat ab. Dass ein Organisationsmangel per se nichts an letzterem ändert, hat die Vorinstanz richtig erwogen. Zahlt eine GmbH eine in Betreibung gesetzte For- derung sodann nicht, wird die Betreibung unter Vorbehalt von in casu nicht rele- vanten Ausnahmetatbeständen von Gesetzes wegen auf dem Weg des Konkur- ses fortgesetzt (Art. 39 Abs. 1 SchKG; vgl. auch Art. 41, 43, 59 Abs. 3, 206 Abs. 2, 230 Abs. 3 und 4, 297 Abs. 2 Ziff. 1 und 346 SchKG); eine Zwangsvollstre- ckung unter Fortführung der Gesellschaft kann ein Gläubiger nicht erzwingen. Losgelöst von der Frage der gehörigen Substantiierung ist daher im vorliegenden Kontext auch irrelevant, dass der Liquidationswert in den meisten Fällen tiefer ist als der Fortführungswert. Der Konkurs bzw. die konkursamtliche Liquidation einer (nicht überlebensfähigen) GmbH folgt sodann unabhängig vom Grund für den Konkurs den Regeln von Art. 159 ff. SchKG, wobei zur Konkursmasse namentlich auch alles gehört, was nach Massgabe der Artikel 285 ff. SchKG mittels Anfech- tungsklage der Zwangsvollstreckung zugeführt werden kann (Art. 200 SchKG). Es bleibt folglich dabei, dass weder Organisationsmangel noch Konkurs den automa- tischen Schluss erlauben, dass das Verhalten der Beklagte 1 und 2 zu einer Schädigung führte, wie sie Voraussetzung einer Durchgriffshaftung wäre. 4.4 Als Ergebnis ist festzuhalten, dass die Klägerin - wie die Vorinstanz richtig schlussfolgerte - weder substantiiert behauptet noch belegt hat, dass die Beklag- ten 1 und 2 der D'._____ GmbH Haftungssubstrat entzogen. Es ist folglich davon auszugehen, dass sich mit dem Forderungsausfall für die Klägerin lediglich das wirtschaftliche Risiko realisiert, das sie gemäss der Art. 794 OR zugrundeliegen- den Wertung des Gesetzgeber als Gläubigerin einer GmbH selber zu tragen hat. Ob die weiteren Voraussetzungen für eine Durchgriffshaftung erfüllt wären, kann bei dieser Ausgangslage ebenso offenbleiben wie die Frage nach der Konkurrenz zwischen der Durchgriffshaftung und der Anfechtungsklage nach Art. 285 ff. SchKG. Ferner erübrigt es sich, auf die von den Beklagten lediglich eventualiter erneuerten Einwände gegen die Forderung an sich einzugehen.</w:t>
      </w:r>
    </w:p>
    <w:p>
      <w:r>
        <w:t>- 23 -</w:t>
      </w:r>
    </w:p>
    <w:p>
      <w:r>
        <w:rPr>
          <w:b/>
        </w:rPr>
        <w:t>E. 3.1</w:t>
      </w:r>
    </w:p>
    <w:p>
      <w:r>
        <w:t>Der Kläger wendet dagegen im Berufungsverfahren ein, dass die Voraus- setzungen der Durchgriffshaftung entgegen der Vorinstanz zu bejahen seien. Nach höchstrichterlicher Rechtsprechung setze diese die wirtschaftliche Identität zwischen der juristischen Person und der hinter ihr stehenden natürlichen Person, die rechtsmissbräuchliche Berufung auf die rechtliche Selbständigkeit der juristi- schen Person und eine qualifizierte Schädigung Dritter voraus. Die wirtschaftliche Identität und die Beherrschung der ehemaligen D'._____ GmbH durch die Beru- fungsbeklagten seien mit der Vorinstanz zu bejahen. Wenn die Vorinstanz erwä- ge, dass die Massierung ausserordentlicher Verhaltensweisen einen blossen An- fangsverdacht der Rechtsmissbräuchlichkeit begründe, verkenne sie jedoch, dass das Verhalten der Beklagten als rechtsmissbräuchlich zu qualifizieren sei. Zwar sei mit der Vorinstanz immerhin übereinzustimmen, dass es sich um ein alltägli- ches Vorgehen handle, wenn die Gesellschafter einer GmbH diese verkauften und eine Nachfolgegesellschaft gründeten, welche dasselbe Geschäftsfeld bedie-</w:t>
      </w:r>
    </w:p>
    <w:p>
      <w:r>
        <w:t>- 12 - ne. Sie verkenne jedoch, dass im vorliegenden Fall besondere Machenschaften vonseiten der Beklagten 1 und 2 vorlägen, welche nicht mehr unter eine alltägli- che Unternehmensübertragung subsumiert werden könnten. So sei darauf hinzu- weisen, dass die Nachfolgegesellschaft über den beinahe identischen Namen ver- füge, an der gleichen Adresse gegründet worden sei, gemäss Handelsregister- auszug den gleichen wirtschaftlichen Zweck verfolge und von den genau gleichen zwei natürlichen Personen beherrscht werde. Es sei augenscheinlich, dass sich die beiden Beklagten 1 und 2 entgegen den Ausführungen der Vorinstanz in rechtsmissbräuchlicher Art und Weise der Stammanteilen an der D'._____ GmbH entledigt, mit E._____ einen Strohmann eingesetzt und die Aktien an der Beklag- ten 3 erworben hätten bzw. Verwaltungsräte dieser Gesellschaften geworden sei- en. Unterstrichen werde die rechtsmissbräuchliche Verhaltensweise durch die zeitliche Abfolge, wenn man sich vor Augen führe, dass just nach Rechtskraft des mietrechtlichen Verfahrens die Stammanteile an der D'._____ GmbH veräussert worden seien. Folglich sei das Vorgehen der Beklagten alles andere als alltäglich und unter keinen Umständen schützenswert. Es sei daher festzuhalten, dass der als zweite Voraussetzung für einen Durchgriff geforderte Rechtsmissbrauch zu bejahen sei. Die Vorinstanz habe betreffend die qualifizierte Schädigung von Drit- ten weiter erwogen, dass die Klägerin kaum etwas ausgeführt habe noch die ent- sprechenden Beweise angeboten habe. Es sei unabhängig vom Verhalten der Klägerin im Konkursverfahren nicht erstellt, inwiefern die ausserordentlichen Ver- haltensweisen der Beklagten kausal dafür gewesen sein sollten, dass die Forde- rung der Klägerin uneinbringlich gewesen sei. Diese Erwägungen vermöchten in- dessen nicht zu überzeugen, da durch das Einschleusen eines Strohmanns, E._____, gerade eben die Handlungsunfähigkeit der D'._____ GmbH herbeige- führt worden sei. Die Klägerin habe versucht, mittels Betreibung gegen die D'._____ GmbH als Schuldnerin der mietrechtlichen Leistung gestützt auf einen definitiven Rechtsöffnungstitel ihre Forderung einzutreiben. Hätten sich die Be- klagten 1 und 2 nicht rechtsmissbräuchlich verhalten, wäre es gar nie zu einem Organisationsmangel der D'._____ GmbH gekommen und diese auch nicht in Konkurs gegangen. Alsdann sei auch die Erwägung der Vorinstanz, wonach es denkbar gewesen wäre, dass die D'._____ GmbH nicht mehr überlebensfähig</w:t>
      </w:r>
    </w:p>
    <w:p>
      <w:r>
        <w:t>- 13 - gewesen sei und dass diese Tatsache zum Forderungsverlust geführt habe, nicht behilflich, weil auch unter dieser Annahme das Vollstreckungsverfahren anders verlaufen wäre und die D'._____ GmbH nicht aufgrund eines Organisationsman- gels in den Konkurs geschickt worden wäre. Die Vorinstanz habe sodann erwo- gen, dass eine Schädigung der Klägerin hingegen zu bejahen wäre, wenn Ver- mögenswerte wie bspw. Arbeitsgeräte oder Inventar unter Missachtung der recht- lichen Selbständigkeit der beiden Gesellschaften von der D'._____ GmbH an die Beklagte 3 übertragen worden wären. Entgegen den Ausführungen der Vo- rinstanz müsse in der vorliegenden Konstellation die Annahme greifen, dass der D'._____ GmbH diverse Vermögenswerte Güter und Rechte entzogen worden und auf die heutige Beklagte 3 übertragen worden seien. Mit Hinweis auf die an- lässlich der Hauptverhandlung vor Vorinstanz eingereichten Belege über den In- ternetauftritt der Beklagten 3 sei festzuhalten, dass diese in die Geschäftstätigkei- ten der D'._____ GmbH eingestiegen sei. Die Beklagte 3 habe ihren Sitz an der- selben Adresse, wie die D'._____ GmbH. Es handle sich um die Adresse, an der sich die Produktionsstätte der Gesellschaften befinde. Es sei evident, dass somit die gesamte Produktionsstätte samt Inventar und der dazugehörige Mietvertrag auf die Beklagte 3 übertragen worden sei. Auch den immateriellen Aspekten wie Beibehaltung des Logos aber auch der Übernahme des Internetauftritts oder des Kundenstamms komme klarerweise vermögensrechtlicher Charakter zu. Insofern sei festzustellen, dass aufgrund der vorliegenden tatsächlichen und im Übrigen unstrittig gebliebenen Sachverhaltserstellung eine Vermögensverschiebung von der D'._____ GmbH auf die Beklagte 3 vorgenommen worden sei, ohne dass hierfür eine korrelierende geldwerte Entschädigung geleistet oder überhaupt be- hauptet worden sei. Alsdann sei über die D'._____ GmbH das Konkursverfahren mangels Aktiven mit Urteil vom 29. Oktober 2019 vom Konkursrichter eingestellt worden. Diese Tatsache untermauere die qualifizierte Schädigung der Klägerin und unterstreiche die rechtsmissbräuchliche Verhaltensweise durch die Beklagten aufs Neue. Die rechtskräftige Forderung gegenüber der D'._____ GmbH wäre somit auf dem Vollstreckungsweg gegen diese uneinbringlich gewesen, weshalb die vorliegend geltend gemachte Durchgriffshaftung zu bejahen sei. Die wirt- schaftliche Identität sei bereits durch die Vorinstanz bejaht worden. Mit der Beru-</w:t>
      </w:r>
    </w:p>
    <w:p>
      <w:r>
        <w:t>- 14 - fung habe aufgezeigt werden können, dass die Erwägungen der Vorinstanz be- treffend das rechtsmissbräuchliche Verhalten und die qualifizierte Schädigung un- zutreffend seien und diese Voraussetzungen ebenfalls zu bejahen seien (Urk. 25 N 7 ff.).</w:t>
      </w:r>
    </w:p>
    <w:p>
      <w:r>
        <w:rPr>
          <w:b/>
        </w:rPr>
        <w:t>E. 3.2</w:t>
      </w:r>
    </w:p>
    <w:p>
      <w:r>
        <w:t>Die Beklagten halten im Berufungsverfahren an ihrer vor Vorinstanz vertre- tenen Position fest, wonach die Klägerin gar nicht versucht habe, ihre angeblichen und bestrittenen Forderungen gegen die D'._____ GmbH durchzusetzen (Urk. 35 Rz 8-14), die wirtschaftliche Identität bzw. die Beherrschung sowohl der D'._____ GmbH als auch der Beklagten 3 durch die Beklagten 1 und 2 zu verneinen (Urk. 35 Rz 16-19) und eine rechtsmissbräuchliche Berufung auf die rechtliche Selb- ständigkeit der D'._____ GmbH nicht dargetan sei (Urk. 35 Rz 21-47, 50). Indem die Klägerin nicht versucht habe, ihre angeblichen und bestrittenen Forderungen gegen die D'._____ GmbH durchzusetzen, fehle es bereits an einer Grundvo- raussetzung für einen Durchgriff gegen die Beklagten (Urk. 35 Rz 14); sie hätte im Konkursverfahren geltend machen müssen, dass nicht sämtliche Vermögenswer- te der D'._____ GmbH verwertet worden seien (Urk. 35 Rz 45). Weiter betonten die Beklagten, dass die Argumentation der Vorinstanz, wonach das Vorhanden- sein zweier Eigentümer eine Beherrschung der Gesellschaft schwieriger mache, bei entsprechendem Zusammenwirken aber dennoch möglich sei, die Vorausset- zung der Beherrschung in ihrem Kerngehalt aushöhle. Das Kriterium der Beherr- schung auf Gruppen auszuweiten, die bei entsprechendem Zusammenwirken ei- ne Gesellschaft kontrollieren könnten, sei geradezu willkürlich und finde weder ei- ne Stütze in den tatsächlichen Ausführungen der Parteien noch in der Rechtspre- chung des Bundesgerichts zum Durchgriff. Die Rechtsprechung verlange, dass das gesamte oder zumindest fast das gesamte Aktienkapital im Besitz der be- herrschenden Person sein müsse, damit wirtschaftliche Identität bejaht werden könne. Das sei vorliegend weder für die D'._____ GmbH noch für die Beklagte 3 der Fall, weshalb eine Beherrschung in tatsächlicher Hinsicht ausgeschlossen sei (Urk. 35 Rz 16-18). Die Klägerin verkenne ausserdem, dass für einen Querdurch- griff nicht nur die wirtschaftliche Einheit erfüllt sein müsse, sondern das Bundes- gericht diesen nur bei einer zweckwidrigen Verwendung einer Schwestergesell- schaft anwende, welche beiden Voraussetzungen vorliegend nicht gegeben seien</w:t>
      </w:r>
    </w:p>
    <w:p>
      <w:r>
        <w:t>- 15 - (Urk. 35 Rz 19 f.). Bezüglich der Voraussetzung der missbräuchlichen Berufung auf die rechtliche Selbständigkeit der juristischen Person könne vollumfänglich auf die zutreffenden Ausführungen der Vorinstanz in E. 5.3 bis 5.5 verwiesen werden. Die Klägerin erblicke die Rechtsmissbräuchlichkeit einerseits darin, dass die Be- klagte 3 über den beinahe identischen Namen wie die D'._____ GmbH verfüge, sie an der gleichen Adresse gegründet worden sei und den gleichen wirtschaftli- chen Zweck wie die Beklagte 3 verfolge und sie von den zwei genau gleichen Personen, den Beklagten 1 und 2, beherrscht würde. Die Ausführungen bezögen sich jedoch auf die erste Voraussetzung des Durchgriffs (wirtschaftliche Identität). Weiter seien beinahe identische Firmen eben nicht identisch, die Nachfolgege- sellschaft (Beklagte 3) entgegen der Klägerin nicht an der gleichen Adresse ge- gründet, sondern eine bestehende Gesellschaft gekauft worden, und ein identi- scher Sitz und Zweck bewirke - wie die Vorinstanz zu Recht festgestellt habe - keine Vermögensverschiebung (Urk. 35 Rz 24). Die Behauptung der Klägerin, die Beklagten hätten sich in rechtsmissbräuchlicher Art und Weise ihrer Stammanteile entledigt bzw. die Beklagte 3 erworben, werde in Ermangelung einer Begründung bzw. von Beweismitteln auch unbegründet bestritten (Urk. 35 Rz 25). Die Behaup- tung der Klägerin, bei E._____ handle es sich um einen Strohmann sei vollkom- men unsubstantiiert. Es werde ausdrücklich bestritten und sei mit nichts belegt, dass es sich bei ihm um einen Strohmann handle. Selbst wenn dies der Fall ge- wesen wäre, hätte dies wie bereits die Vorinstanz ausgeführt habe, nichts am Haftungssubstrat der D'._____ GmbH geändert. Ein Organisationsmangel habe keinen Einfluss auf das Haftungssubstrat einer Gesellschaft (Urk. 35 Rz 27 f.). Soweit die Klägerin geltend mache, just nach Rechtskraft des mietrechtlichen Ver- fahrens hätten sich die Beklagten 1 und 2 der Stammanteile an der D'._____ GmbH entledigt, sei das nachweislich unzutreffend und aktenwidrig (Urk. 35 Rz 29 f.). Der Verkauf der D'._____ GmbH und ein Organisationsmangel hätten am Haftungs- und Vollstreckungssubstrat nichts geändert. Ob die D'._____ GmbH in- folge eines Organisationsmangels oder aufgrund der angeblichen und bestritte- nen Forderung der Klägerin in Konkurs geschickt worden sei, ändere entgegen der Auffassung der Klägerin nichts am Ausgang des Konkursverfahrens (Urk. 35 Rz 32). Eine Schädigung der Klägerin wäre mit der Vorinstanz zu bejahen, wenn</w:t>
      </w:r>
    </w:p>
    <w:p>
      <w:r>
        <w:t>- 16 - Vermögenswerte unter Missachtung der rechtlichen Selbständigkeit der beiden Gesellschaften von der D'._____ GmbH auf die Beklagte 3 übertragen worden wären. Dass, inwiefern und wie dies tatsächlich geschehen sein solle, mache die Klägerin aber nicht substantiiert geltend, so die Vorinstanz. Die Klägerin versuche nun in ihrer Berufungsschrift zwar diese fehlenden Behauptungen nachzuholen. Da sie diese jedoch mit zumutbarer Sorgfalt bereits vor Vorinstanz hätte vorbrin- gen können, seien diese neuen Vorbringen nicht mehr zu berücksichtigen (Urk. 35 Rz 34). Für den Fall, dass von zulässigen neuen Vorbringen ausgegangen würde, verweisen die Beklagten darauf, dass es die von der Klägerin vorgebrach- te Vermutung bzw. Annahme, dass der D'._____ GmbH diverse Vermögenswerte, Güter, Rechte entzogen und auf die Beklagte 3 übertragen worden seien, im For- derungsprozess nicht gebe. Es gelte Art. 8 ZGB. Beweismass sei der Vollbeweis bzw. strikte Beweis. Dass Arbeitsgeräte, Inventar oder andere Vermögenswerte von der D'._____ GmbH an die Beklagte 3 übertragen worden seien, werde ein- mal mehr ausdrücklich bestritten und sei mit nichts belegt (Urk. 35 Rz 36). Imma- terielle Vermögenswerte wie Logo, Internetauftritt und Kundenstamm seien als selbstgeschaffene immaterielle Werte buchhalterisch mangels Werthaltigkeit nicht aktivierbar. Es werde bestritten, dass das Firmenlogo, wenn daran überhaupt Ei- gentum begründet werden könne, im Eigentum der D'._____ GmbH gestanden und ihm überhaupt ein Markt- oder Verkehrswert zugekommen sei. Weiter werde bestritten, dass mit der Weiternutzung durch die Beklagte 3 der D'._____ GmbH Haftungs- oder Vollstreckungssubstrat entzogen worden sei (Urk. 35 Rz 39 f., 43). Ein allfälliger Kundenstamm stelle - was gerichtsnotorisch sei - kein Aktivum in ei- ner Bilanz dar. Ein wertvoller Kundenstamm könne allenfalls in Form von Goodwill bei der Kaufpreisfestsetzung der zu verkaufenden Gesellschaft berücksichtigt werden. Vom allenfalls höheren Kaufpreis würden aber nur die Gesellschafter und nicht die Gesellschaft profitieren. Ein allfälliger Verkauf des Kundenstamms habe keinen Einfluss auf das Haftungs- und Vollstreckungssubstrat der D'._____ GmbH, da nur ein höherer Betrag vom Käufer an den Verkäufer fliesse. Die Ar- gumentation der Klägerin gehe daher an der Sache vorbei. Der Käufer habe in casu keinen Goodwill für den angeblich wertvollen Kundenstamm der D'._____ GmbH bezahlt. Es werde ausdrücklich bestritten, dass die Beklagte 3 einen allfäl-</w:t>
      </w:r>
    </w:p>
    <w:p>
      <w:r>
        <w:t>- 17 - ligen Kundenstamm der D'._____ GmbH übernommen habe, dem allfälligen Kun- denstamm der D'._____ GmbH ein Verkehrswert zukomme oder er ein Aktivum in der Bilanz darstelle und der D'._____ GmbH - selbst wenn die Behauptung der Klägerin zutreffen würde - Haftungs- und Vollstreckungssubstrat entzogen worden sei (Urk. 35 Rz 41 f.). Selbst wenn sämtliche Behauptungen der Klägerin zuträfen, was ausdrücklich bestritten werde, sei nicht zu erkennen, inwiefern der Konkurs- beamte im Konkurs der D'._____ GmbH den angeblichen Kundenstamm, das Firmenlogo und die Internet-Adresse hätte verwerten sollen (Urk. 35 Rz 45). Das Fehlen von Vollstreckungssubstrat begründe im Übrigen entgegen der Auffassung der Klägerin keine Rechtsmissbräuchlichkeit (Urk. 35 Rz 47). Die Voraussetzun- gen für eine Durchgriffshaftung seien nicht annähernd rechtsgenüglich behauptet und nicht ansatzweise bewiesen (Urk. 35 Rz 50). Für den Fall, dass wider Erwar- ten die Voraussetzungen für einen Durchgriff als erfüllt erachtet würden, brachten die Beklagten sodann ihre diversen Einwendungen gegen die Forderung an sich erneut in das Verfahren ein (Urk. 35 Rz 51-73). 4.1 Für die Verbindlichkeiten einer GmbH haftet gemäss Art. 794 OR aus- schliesslich das Gesellschaftsvermögen. Vorbehalten bleibt die Durchgriffshaf- tung. Diese dient klassischerweise dem Gläubigerschutz (Kobierski, Der Durch- griff im Gesellschafts- und Steuerrecht, Schriften zum Steuer- und Wirtschafts- recht, Bd 22, Bern 2012, S. 39 [§ 6. IV.]) und greift nach bundesgerichtlicher Rechtsprechung dann, wenn die Berufung auf die rechtliche Selbständigkeit der juristischen Person im Einzelfall rechtsmissbräuchlich erscheint (BGE 113 II 31 E. 2c). Zur Annahme von Rechtsmissbrauch müssen eine Massierung unterschiedli- cher und ausserordentlicher Verhaltensweisen im Sinne eigentlicher Machen- schaften und eine qualifizierte Schädigung Dritter vorliegen (BGer 5A_498/2007 vom 28.2.2008, E. 2.2.; vgl. auch BGE 144 III 541 E. 8.3.2; BGer 5A_330/2012 vom 17.7.2020, E. 3.1). Die von der Klägerin beschriebenen Vorgänge rund um die Übernahme der D'._____ GmbH durch E._____ bzw. die Übernahme der Be- klagten 3 durch die Beklagten 1 und 2 sind vor diesem Hintergrund (mit der Vo- rinstanz) von Vornherein nur dann von Bedeutung, wenn dargetan ist, dass sie zu einer Schmälerung des Haftungssubstrates der D'._____ GmbH, die gestützt auf den Untermietvertrag als Vertragspartei bzw. gemäss Urteil des Bezirksgerichts</w:t>
      </w:r>
    </w:p>
    <w:p>
      <w:r>
        <w:t>- 18 - Baden zur Zahlung verpflichtet war, führten. War dies nicht der Fall, hat sich mit dem Forderungsausfall für die Klägerin lediglich das wirtschaftliche Risiko reali- siert, das sie gemäss der Art. 794 OR zugrundeliegenden Wertung des Gesetz- geber als Gläubigerin einer GmbH selber zu tragen hat. 4.2 Die Behauptungs- und Beweislast für die besonderen Umstände, aufgrund derer anzunehmen ist, dass Rechtsmissbrauch vorliegt, trägt die Klägerin (BGE 134 III 52 E. 2.1). Sie hat folglich namentlich mittels substantiierter Behauptung aufzuzeigen und im Bestreitungsfall zu beweisen, dass Aktiven der D'._____ GmbH von den Beklagten 1 und 2 ohne angemessene Gegenleistung auf die Be- klagte 3 übertragen wurden. Es gilt das Regelbeweismass des vollen Beweises. Eine Ausnahmekonstellation, die eine Beweismassreduktion rechtfertigen würde, liegt nicht vor. Namentlich fehlt es an einer "Beweisnot" im Sinne der Rechtspre- chung (vgl. BGE 140 III 610 E. 4.1). Eine solche wird von der Klägerin denn auch nicht geltend gemacht. 4.3.1 Die Klägerin behauptete vor Vorinstanz in der Klagebegründung eine Schä- digung nur insofern, als sie geltend machte, dass sie ihre Forderung gemäss rechtskräftigem Urteil des Bezirksgerichts Baden vom 5. Juni 2019 nicht gegen die D'._____ GmbH habe durchsetzen können, weil diese aufgrund eines Organi- sationsmangels Konkurs gegangen sei (Urk. 2 N 22). Nachdem die Beklagten in der Klageantwort die Schwächen dieser Argumentation angetönt und schlussfol- gernd festgestellt hatten, dass die klägerischen Rechtsbegehren nicht substanti- iert bzw. die Voraussetzungen für einen Durchgriff nicht ansatzweise gegeben, geschweige denn behauptet seien (Urk. 9 Rz 66-75), ergänzte die Klägerin ihre Darlegungen replicando (Urk. 21 N 13 ff.; Prot. I S. 8). Soweit im vorliegenden Zusammenhang (potentiell) relevant führte sie dabei aus, dass die Beklagten 1 und 2 mittels Übernahme der Beklagten 3 die D'._____ GmbH in die Beklagte 3 verlagert hätten (Urk. 21 N 21), dass mittels Sitzverlegung und Zweckänderung der Beklagten 3 das Vermögenssubstrat der ehemaligen D'._____ GmbH in die Beklagte 3 übertragen worden sei (Urk. 21 N 22), die Beklagten 1 und 2 mit ihrem Verhalten [der D'._____ GmbH] das Vollstreckungssubstrat komplett entzogen hätten (Urk. 21 N 22) und die Einstellung des Konkurses über die D'._____ GmbH</w:t>
      </w:r>
    </w:p>
    <w:p>
      <w:r>
        <w:t>- 19 - mangels Aktiven zeige, dass deren sämtliche Vermögenswerte in die heutige Be- klagte 3 überführt worden seien (Urk. 21 N 25). Sie erwähnte sodann noch, dass die Instagram und Facebook Plattformen und das Logo der D'._____ GmbH von der Beklagten 3 übernommen worden seien (Urk. 21 N 26). Die Verlegung des Sitzes der F._____ AG an die … [Adresse] verbunden mit der Umfirmierung in D._____ AG und der Änderung des Gesellschaftszwecks erfolgte am tt. Januar 2019 (SHAB-Dat.: tt. Januar 2019; Urk. 4/8). Sitz und Zweck der D._____ AG entsprachen unbestritten dem damals aktuellen Sitz und Zweck der D'._____ GmbH, die die Beklagten 1 und 2 per tt. Februar 2019 (SHAB-Dat.: tt. Februar 2019; Urk. 4/7) auf E._____ übertrugen. Ab dem tt. Februar 2019 führten die Beklagten 1 und 2 die D._____ AG unbestritten gemeinsam. Das Urteil des Bezirksgerichts Baden erging am 5. Juni 2019, das Betreibungsbegehren der Klägerin gegen die D'._____ GmbH datiert vom 26. Juni 2019 und der Konkurs über die D'._____ GmbH wurde am 5. August 2019 eröffnet. Entgegen der Kläge- rin veräusserten die Beklagten 1 und 2 ihre Stammanteile an der D'._____ GmbH also nicht "just nach Rechtskraft des mietrechtlichen Verfahrens", sondern spiel- ten sich die von ihr als rechtsmissbräuchlich qualifizierten Vorgänge mehrere Mo- nate vor der Eröffnung des Urteils des Bezirksgerichts Baden ab. Zu relativieren ist in diesem Zusammenhang auch die Erwägung der Vorinstanz, E._____ sei al- lem Anschein nach sofort nach der Übernahme für die Behörden nicht mehr er- reichbar gewesen; der gemäss dem zuständigen Betreibungsamt erfolglose Ver- such der Zustellung des Zahlungsbefehls erfolgte gut vier Monate nach der Über- nahme der D'._____ GmbH durch ihn. Dessen ungeachtet und unabhängig von der umstrittenen Frage, wann der Beklagte 2 erstmals "als Gesellschafter" der Beklagten 3 im Handelsregister eingetragen wurde (Urk. 21 N 18; Prot. I S. 9 f.), ist jedoch nicht zu bestreiten, dass im relevanten Zeitraum personelle Verbindun- gen zwischen der D'._____ GmbH und der Beklagten 3 bestanden, die es grund- sätzlich möglich machten, dass eine der Gesellschaften die Geschäftstätigkeit un- ter Aushöhlung der anderen weiterführte. Der Umstand des Konkurses der D'._____ GmbH wenige Monate nach der Übernahme, der indiziert, dass E._____ die Geschäftstätigkeit nicht ernsthaft weiterverfolgte, mag entsprechende Mut- massungen begünstigen. Zwingend ist die Annahme, dass der D'._____ GmbH</w:t>
      </w:r>
    </w:p>
    <w:p>
      <w:r>
        <w:t>- 20 - durch die Beklagten 1 und 2 zugunsten der Beklagten 3 Mittel entzogen wurden, aber nicht. So konnte E._____ ab dem Zeitpunkt der Übertragung der Gesell- schaft auf ihn während mehrerer Monate über (allfälligen) Vermögenswerte der D'._____ GmbH selbständig verfügen, weshalb aus dem Umstand, dass deren Konkurs mangels Aktiven eingestellt wurde, nicht ohne weiteres geschlossen werden kann, dass die Gesellschaft bereits bei ihrer Übertragung auf E._____ über keine (nennenswerten; vgl. Art. 230 Abs. 1 SchKG) Vermögenswerte mehr verfügte. Und selbst wenn das der Fall gewesen wäre, würde dies nicht bedeuten, dass das Fehlen von Vermögenswerten darauf zurückzuführen war, dass die Be- klagten 1 und 2 solche vorgängig der Übertragung der Gesellschaft auf E._____ (ohne angemessene Entschädigung) in die Beklagte 3 übernommen hatten. Das gilt auch unter Berücksichtigung des Umstandes, dass Sitz und Zweck der Ge- sellschaften übereinstimmten, erlauben Sitz und Zweck doch keine alternativlosen Rückschlüsse auf den Vermögensstand (Zusammensetzung und Höhe) einer Ge- sellschaft und/oder die Herkunft des Gesellschaftsvermögens. Die Argumentation der Klägerin, mit welcher sie von den Akteuren, der Verlegung des Sitzes und der Änderung des Zweckes der Beklagten 3 bzw. vom Verhalten der Beklagten 1 und 2 allgemein sowie der Einstellung des Konkurses über die D'._____ GmbH man- gels Aktiven auf eine für sie nachteilige Übertragung von Vermögenssubstrat von der D'._____ GmbH auf die Beklagte 3 schliesst, greift vor diesem Hintergrund zu kurz. Reduziert auf ihre Kernaussage, es seien sämtliche Vermögenswerte der D'._____ GmbH in die heutige Beklagte 3 überführt worden, erweist sich die klä- gerische Argumentation sodann schon allein insofern als ungenügend substanti- iert (zu den Anforderungen an die Substantiierung vgl. BGE 127 III 365 E. 2b), als sie offenlässt, über welche zur Übertragung geeigneten werthaltigen Güter die D'._____ GmbH verfügte bzw. welche werthaltigen Güter auf die Beklagte 3 über- tragen wurden. Namentlich legte sie auch nicht dar, dass bzw. inwiefern die Soci- al-Media Auftritte und das Logo der D'._____ GmbH, die denjenigen der Beklag- ten 3 unbestritten entsprechen, über einen Verkehrswert verfügten bzw. aktivier- bar waren (vgl. Art. 959 Abs. 2 OR). Die (unsubstantiierte) Behauptung der Kläge- rin, es seien sämtliche Vermögenswerte der D'._____ GmbH in die heutige Be- klagte 3 überführt worden, wurde von den Beklagten vor Vorinstanz zudem be-</w:t>
      </w:r>
    </w:p>
    <w:p>
      <w:r>
        <w:t>- 21 - stritten (Urk. 9 Rz 48-50; Prot. I S. 10). Die Klägerin macht nicht geltend, dass die Vorinstanz von ihr form- und fristgerecht angebotene Beweismittel nicht abge- nommen hat. Die (unsubstantiierte) Behauptung hätte folglich auch als unbewie- sen zu gelten. 4.3.2 Im Berufungsverfahren trägt die Klägerin zusätzlich vor, es sei die gesamte Produktionsstätte samt Inventar und der dazugehörige Mietvertrag sowie der Kundenstamm von der D'._____ GmbH auf die Beklagte 3 übertragen worden, den immateriellen Aspekten wie der Beibehaltung des Logos, der Übernahme des Internettauftritts oder des Kundenstamms komme vermögensrechtlicher Charak- ter zu und die Vermögensverschiebung von der D'._____ GmbH auf die Beklagte</w:t>
      </w:r>
    </w:p>
    <w:p>
      <w:r>
        <w:rPr>
          <w:b/>
        </w:rPr>
        <w:t>E. 5</w:t>
      </w:r>
    </w:p>
    <w:p>
      <w:r>
        <w:t>Die Klägerin wird verpflichtet, den Beklagten 1-3 für das Berufungsverfahren eine Parteientschädigung von Fr. 5'900.– zu bezahlen.</w:t>
      </w:r>
    </w:p>
    <w:p>
      <w:r>
        <w:rPr>
          <w:b/>
        </w:rPr>
        <w:t>E. 6</w:t>
      </w:r>
    </w:p>
    <w:p>
      <w:r>
        <w:t>Schriftliche Mitteilung an die Parteien sowie an die Vorinstanz, je gegen Empfangsschein.</w:t>
      </w:r>
    </w:p>
    <w:p>
      <w:r>
        <w:t>- 24 -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63'698.–. Die Beschwerde an das Bundesgericht hat keine aufschiebende Wirkung. Hinsichtlich des Fristenlaufs gelten die Art. 44 ff. BGG. Zürich, 28. Oktober 2022 Obergericht des Kantons Zürich I. Zivilkammer Der Vorsitzende: Der Gerichtsschreiber: lic. iur. A. Huizinga MLaw R. Meli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