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LB210049 vom 10. November 2022</w:t>
      </w:r>
    </w:p>
    <w:p>
      <w:r>
        <w:t>ZH Obergericht, 2022-11-10, DE</w:t>
      </w:r>
    </w:p>
    <w:p>
      <w:r>
        <w:rPr>
          <w:b/>
        </w:rPr>
        <w:t xml:space="preserve">Quelle: </w:t>
      </w:r>
      <w:r>
        <w:t>https://mcp.opencaselaw.ch/entscheid/zh_obergericht_LB210049</w:t>
      </w:r>
    </w:p>
    <w:p>
      <w:r>
        <w:t>FR: ZH_OBERGERICHT LB210049 du 10 novembre 2022</w:t>
      </w:r>
    </w:p>
    <w:p>
      <w:r>
        <w:t>IT: ZH_OBERGERICHT LB210049 del 10 novembre 2022</w:t>
      </w:r>
    </w:p>
    <w:p>
      <w:pPr>
        <w:pStyle w:val="Heading2"/>
      </w:pPr>
      <w:r>
        <w:t>Erwägungen</w:t>
      </w:r>
    </w:p>
    <w:p>
      <w:r>
        <w:rPr>
          <w:b/>
        </w:rPr>
        <w:t>E. 1</w:t>
      </w:r>
    </w:p>
    <w:p>
      <w:r>
        <w:t>C._____ ist Politiker und Unternehmer in D._____. Er hat einen Sohn, E._____, und eine Tochter, A._____, welche im vorliegenden Prozess als Kläge- rin auftritt. In den frühen 90er Jahren des letzten Jahrhunderts wandte sich C._____ an Rechtsanwalt Dr. F._____ (fortan F._____). Dieser sollte die Familie bei der internationalen Ausgestaltung ihres Vermögens beraten, für sie über ge- sellschaftliche Konstrukte als Finanzintermediär tätig werden und Vermögenswer- te für sie international halten und verwalten. Die Beklagte ist eine sich in diesem Konstrukt von 30 bis 40 Firmen befindliche Gesellschaft. Die Beklagte ist eine Schweizerische Aktiengesellschaft, deren Alleinaktionär und einziger Verwal- tungsrat F._____ ist. Die Klägerin verlangt in einer ersten Stufe Auskunft über di- verse von der Beklagten treuhänderisch gehaltene Vermögenswerte, an denen sie, so ihre Darstellung, wirtschaftlich berechtigt sei. In einer zweiten Stufe be- gehrt sie die Herausgabe dieser Vermögenswerte sowie noch zu beziffernden Schadenersatz (Urk. 79 S. 4; Urk. 78 S. 12 f.).</w:t>
      </w:r>
    </w:p>
    <w:p>
      <w:r>
        <w:t>- 7 -</w:t>
      </w:r>
    </w:p>
    <w:p>
      <w:r>
        <w:rPr>
          <w:b/>
        </w:rPr>
        <w:t>E. 2</w:t>
      </w:r>
    </w:p>
    <w:p>
      <w:r>
        <w:t>Die Klage vom 14. Februar 2019 ging bei der Vorinstanz am 18. Februar 2019 ein (Urk. 1). Der weitere Verfahrensgang kann dem angefochtenen Ent- scheid entnommen werden (Urk. 79 S. 4 f.). Gegen das vorinstanzliche Urteil vom 30. August 2021 hat die Klägerin und Berufungsklägerin (fortan Klägerin) mit Ein- gabe vom 6. Oktober 2021, hier eingegangen am 7. Oktober 2021, fristgerecht Berufung erhoben (Urk. 78). Der ihr mit Verfügung vom 11. Oktober 2021 (Urk. 82) auferlegte Kostenvorschuss von Fr. 60'000.-- wurde rechtzeitig geleistet (Urk. 83). Die Berufungsantwort der Beklagten und Berufungsbeklagten (fortan Beklag- te) datiert vom 16. Dezember 2021 und ging rechtzeitig ein (Urk. 85), sie wurde der Gegenpartei mit Verfügung vom 3. Januar 2022 zugestellt (Urk. 88). Mit Schreiben vom 7. Januar 2022 erklärte die Beklagte, dass die mit der Berufungs- antwort eingereichten Datenträger (USB-Sticks, Urk. 87/1+2) bereits im Doppel eingereicht worden seien, d.h. beide Datenträger enthielten sowohl das Urteil im Original als auch die maschinelle Übersetzung in deutscher Sprache (Urk. 89). Am 14. Januar 2022 stellte die Klägerin ein Fristerstreckungsgesuch für die Stel- lungnahme zur Berufungsantwortschrift bis 31. Januar 2022 (Urk. 90), welches mit Verfügung vom 17. Januar 2022 bewilligt wurde (Urk. 91). Im Folgenden wur- de diese Frist auf Gesuch der Klägerin bis letztmals 18. Februar 2022 erstreckt (Urk. 92). Ihre Stellungnahme datiert vom 17. Februar 2022 (Urk. 93). Sie wurde der Gegenpartei mit Verfügung vom 28. Februar 2022 zugestellt (Urk. 96). Die Beklagte liess sich dazu mit Eingabe vom 11. März 2022 vernehmen (Urk. 97); diese Stellungnahme wurde der Gegenpartei am 16. März zugestellt (Urk. 97). Weitere Eingaben erfolgten nicht. Das Verfahren ist spruchreif.</w:t>
      </w:r>
    </w:p>
    <w:p>
      <w:r>
        <w:rPr>
          <w:b/>
        </w:rPr>
        <w:t>E. 3</w:t>
      </w:r>
    </w:p>
    <w:p>
      <w:r>
        <w:t>Zufolge Neukonstituierung der Kammer per 1. Juli 2022 wirken neu Ober- richter lic. iur. A. Huizinga als Vorsitzender, Oberrichterin Dr. D. Scherrer als Re- ferentin und Oberrichterin lic. iur. B. Schärer in diesem Verfahren mit.</w:t>
      </w:r>
    </w:p>
    <w:p>
      <w:r>
        <w:rPr>
          <w:b/>
        </w:rPr>
        <w:t>E. 4</w:t>
      </w:r>
    </w:p>
    <w:p>
      <w:r>
        <w:t>Unter dem Titel "Einleitung und Überblick über den massgebliche Sach- verhalt" lässt sich die Klägerin zu Beginn ihrer Berufungsbegründung im Wesent- lichen über den nach ihrer Auffassung der Forderung tatsächlich zu Grunde lie- genden Sachverhalt aus (Urk. 78 S. 12 - 18). Bei diesen Ausführungen handelt es sich primär um Wiederholungen des bereits vor Vorinstanz Vorgebrachten, ohne konkreten Bezug zum Inhalt des vorinstanzlichen Urteils. Wie bereits ausgeführt, darf in der Berufungsschrift keine neuerliche Darstellung der Sach- oder Rechts- lage erfolgen, welche nicht darauf eingeht, was vor der Vorinstanz vorgebracht worden ist. Auf diese Ausführungen ist daher nicht näher einzugehen. a) Die Vorinstanz hielt vorab fest, es sei unbestritten, dass die Familie A._____C._____E._____ bezüglich der Beteiligung der Beklagten an der B2._____ in irgendeiner Form wirtschaftlich berechtigt und die Klägerin neben ih- rem Bruder und Vater wirtschaftlich berechtigt an H._____ sei (Urk. 79 S. 22). Letztlich sei es für einen allfälligen materiell-rechtlichen Auskunftsanspruch je-</w:t>
      </w:r>
    </w:p>
    <w:p>
      <w:r>
        <w:t>- 25 - doch nicht relevant, ob die Klägerin wirtschaftlich Berechtigte an den von der Be- klagten gehaltenen Vermögenwerten sei, da das schweizerische Recht auf die formale Rechtsstellung abstelle (Urk. 79 S. 22 f.). Betreffend die von der Klägerin behauptete Vermögensübertragung von ihrem Vater auf sie und ihren Bruder er- wog die Vorinstanz, dass die diesbezüglichen Angaben der Klägerin widersprüch- lich seien, weil sie einerseits Eigentümerstellung (durch Vermögensübertragung), andererseits wirtschaftliche Berechtigung geltend mache und anerkenne, dass die Beklagte formelle Eigentümerin sei. Die wirtschaftliche Berechtigung sei zwar übertragbar, habe jedoch nichts mit den formellen Eigentumsverhältnissen zu tun. Somit sei auf die behauptete Vermögensübertragung vom Vater auf die Klägerin und ihren Bruder nicht weiter einzugehen (Urk. 79 S. 23). aa) Die Klägerin macht in ihrer Berufungsbegründung geltend, dass sie nie behauptet habe, dass ihr einzig aufgrund ihrer wirtschaftlichen Berechtigung ein Anspruch gegenüber der Beklagten zustehe. Sie habe in der Replik klargestellt, dass sie ihre Ansprüche aus Auftrag, eventualiter Geschäftsführung ohne Auftrag oder allenfalls den Regeln des Deliktsrechts und des Bereicherungsrechts ableite. Es sei klar, dass im Innenverhältnis zwischen der wirtschaftlich berechtigten Per- son und dem formellen Eigentümer zwingend ein irgendwie geartetes Rechtsver- hältnis bestehen müsse (Urk. 78 S. 28 f., 33). In diesem Sinne deckt sich somit die Auffassung der Vorinstanz mit derjenigen der Klägerin, indem beide davon ausgehen, dass zwischen den Parteien zwecks Geltendmachung von Rechtsan- sprüchen ein Vertragsverhältnis bestehen muss bzw. nach Auffassung der Kläge- rin - wenn ein Vertragsverhältnis nicht zu beweisen sei - mindestens eine Ge- schäftsführung ohne Auftrag (Urk. 25 S. 29). Die Klägerin ist offenbar der Auffas- sung, dass die Feststellung der Vorinstanz, wonach davon auszugehen sei, dass die Beklagte das Vermögen von C._____ bzw. E._____ verwalte (Urk. 79 S. 29) sowie diejenige, wonach davon auszugehen sei, dass die Beklagte (nach eigenen Angaben) bezüglich H._____ formell in deren Auftrag bzw. faktisch im Auftrag von C._____ bzw. E._____ handle (Urk. 79 S. 30), als Beleg für eine bestehende ver- tragliche Beziehung auch zu ihr ausreichend sei (Urk. 78 S. 29). Entgegen der Auffassung der Klägerin lassen sich daraus jedoch keine Hinweise auf vertragli- che Beziehungen zwischen ihr und der Beklagten erkennen. Die Klägerin unter-</w:t>
      </w:r>
    </w:p>
    <w:p>
      <w:r>
        <w:t>- 26 - liess es vorzubringen, wo und wann und in welchem Umfang für welche Vermö- genswerte zwischen ihr und der Beklagten vertragliche Vereinbarungen geschlos- sen wurden. Die Klägerin vertrat weiter den Standpunkt, dass wenn die Vo- rinstanz zum Schluss komme, dass die Klägerin wirtschaftlich (an B2._____ und H._____) berechtigt sei, dann folgerichtig auch ein diese Berechtigung begrün- dendes Rechtsverhältnis mit der Beklagten bestehen müsse, welche diese Ge- sellschaften verwalte (Urk. 78 S. 29). Dies lasse sich auch aus den Aussagen von F._____ ableiten. Dieser habe im Rahmen seines Eheschutz- /Scheidungsverfahrens erklärt, dass die B2._____ der Familie A._____C._____E._____ gehöre und die Beklagte diese Beteiligung treuhände- risch für die Familie A._____C._____ E._____ halte, wie auch die B3._____; die Beklagte selbst gehöre ihm (Urk. 78 S. 17). Durch diese Aussagen von F._____ als einzigem Organ der Beklagten liege der Beweis vor, dass auch mit der Kläge- rin als Teil der Familie A._____C._____ E._____ ein Rechtsverhältnis bzw. ein Treuhandverhältnis bestehe (Urk. 78 S. 29 f., 33). Die Klägerin selbst hatte aller- dings geltend gemacht, auch wenn F._____ von der "Familie A._____C._____E._____" spreche, es diese im Sinne einer zusammengehörigen wirtschaftlichen Einheit gar nicht gebe. Ihr Vater, C._____, habe seine Vermö- genswerte vor über einem Jahrzehnt an sie und ihren Bruder übertragen. Auch die Beklagte anerkenne, keine Vermögenswerte für C._____ zu halten (Urk. 78 S. 16 f.). Offenbar will die Klägerin damit behaupten, dass die Vermögenswerte so- mit nur (noch) für sie und ihren Bruder gehalten würden. Was die Aussagen von F._____ im Scheidungsverfahren anbelangt, kann allein daraus in keiner Weise auf ein Rechtsverhältnis zur Klägerin geschlossen werden. Die Aussagen sind sehr pauschal gehalten; die Klägerin wird nie explizit genannt. Auch ist nicht von einem Vertrag mit der Klägerin die Rede. Die Angaben müssen im konkreten Zu- sammenhang gesehen werden. Es ging in jenem Prozess darum, ob diese Ver- mögenswerte in der güterrechtlichen Auseinandersetzung F._____ persönlich zu- zurechnen seien; Details der effektiven Berechtigungen spielten in jenem Kontext keine Rolle. All diese Vorbringen genügen den Anforderungen an eine genügende Substantiierung nicht. Die Klägerin ist offensichtlich bemüht, aufgrund von Schlussfolgerungen aus der ihr bezüglich H._____ zugestandenen wirtschaftli-</w:t>
      </w:r>
    </w:p>
    <w:p>
      <w:r>
        <w:t>- 27 - chen Berechtigung direkt ihren formalen Anspruch gegenüber der Beklagten ab- zuleiten, offenbar in der Annahme, dass diese Schlussfolgerungen zwingend sei- en. Dies trifft jedoch nicht zu. Die wirtschaftliche Berechtigung ist ein wirtschaftli- ches Faktum. Sie ist zivilrechtlich nicht eindeutig definiert und stellt keine Rechts- grundlage für zivilrechtliche Ansprüche dar. Das von der Klägerin angesprochene Innenverhältnis (Urk. 78 S. 42) kann im Rahmen des Rechts beliebig ausgestaltet sein und (gerade im Rahmen von Gesellschaftskonstrukten) zwischen beliebigen natürlichen und/oder juristischen Personen zivilrechtliche Ansprüche begründen. Es ist deshalb unerlässlich, dass sie eine direkte vertragliche Beziehung zur Be- klagten belegt bzw. substantiiert. bb) Die Argumentation der Klägerin ist auch grundsätzlich nicht stringent. So führte sie aus, dass ihr Vater sich bereits in den frühen 90er-Jahren des letzten Jahrhunderts an F._____ gewandt habe, damit dieser für ihn ein gesellschaftli- ches Konstrukt erschaffe und in diesem Rahmen für ihn Vermögenswerte interna- tional halte und verwalte. Eine dieser Gesellschaften sei die Beklagte gewesen (Urk. 78 S. 12). Gemäss Handelsregisterauszug besteht diese seit 1988 (Urk. 3/2; vgl. auch Urk. 1 S. 8). Es wurde von der Klägerin nicht behauptet, dass sie da- mals in irgendeiner Weise an dieser Gesellschaft beteiligt gewesen oder Partei eines allfälligen Treuhandvertrages mit der Beklagten gewesen sei. Sie erklärte ausdrücklich, dass keine Mitglieder der Familie A._____C._____E._____, also auch nicht ihr Vater, sich in den Führungsorganen der von der Beklagten be- herrschten Gesellschaftsketten oder der Beklagten selbst befunden hätten (Urk. 78 S. 12 f.). Die Klägerin macht nicht geltend, dass zwischen ihrem Vater und der Beklagten jemals ein - allenfalls auch mündlich oder konkludent geschlossenes - Treuhandverhältnis bestanden habe; sie erklärte lediglich, dass ein gesteigertes Vertrauensverhältnis vorgelegen habe (Urk. 78 S. 13, 36). Schriftliche Abreden existieren nicht. Fest steht jedenfalls, dass der Vater der Klägerin nie formeller Ei- gentümer der Beklagten war. Wie bereits erwähnt, erklärte die Beklagte, dass zwischen ihr und/oder weiteren Familienangehörigen der Klägerin nie ein Treu- handvertrag bestanden habe (Urk. 35 S. 11, 23). C._____ sei nie ein Klient der Beklagten gewesen (Urk. 20 S. 6). Dies wurde von der Klägerin nicht explizit be- stritten (vgl. Urk. 25 S. 37 f.). C._____ habe sich auch nie direkt an F._____ ge-</w:t>
      </w:r>
    </w:p>
    <w:p>
      <w:r>
        <w:t>- 28 - wandt, was schon aus sprachlichen Gründen nicht möglich gewesen sei, weil C._____ nur D._____ spreche (Urk. 20 S. 6). Die Tätigkeiten von F._____ seien auf Instruktion von E._____ erfolgt sowie diverser Berater/Strohmänner C._____ (Urk. 20 S. 6). Sie, die Beklagte, habe nichts mit der Verwaltung der Vermögens- werte von C._____ zu tun, da sie keine Vermögenswerte für ihn halte, wie auch nicht für die Klägerin (Urk. 20 S. 13). Diese Vorbringen wurden von der Klägerin nicht substantiiert bestritten. Die Klägerin schloss daraus lediglich, dass die Be- klagte demnach Vermögenswerte für E._____ halte. Sie konkretisierte jedoch nicht, um welche Vermögenswerte es sich dabei handle. Sie sei jedoch ermäch- tigt, diese Ansprüche in Bezug auf Auskunft und Herausgabe auch für ihren Bru- der geltend zu machen und verfüge auch über eine entsprechende Einziehungs- ermächtigung (Urk. 25 S. 4). Die Beklagte meinte darauf, dass sie nirgends be- hauptet habe, F._____ habe nichts mit der Familie A._____C._____E._____ zu tun. Es sei vielmehr ausgeführt worden, dass die Beklagte mit dem A._____C._____E._____ Vermögen nichts zu tun habe (Urk. 35 S. 23). Aufgrund der beidseitigen, sich teilweise widersprechenden Behauptungen und mangels schriftlicher Verträge sind die konkreten Beziehungen von C._____ und E._____ zur Beklagten nicht vollständig klar; fest steht jedenfalls, dass diese beiden Personen nicht formelle Eigentümer der Beklagten sind. Ob jemals eine mündliche Treuhandabrede zwischen ihnen oder einem von ihnen und der Be- klagten bestand, kann offen bleiben. Es ist unerheblich, da es im vorliegenden Zusammenhang lediglich um die Beziehung der Klägerin zur Beklagten geht. Die Klägerin konnte ein von ihr direkt mit der Beklagten bestehendes Vertragsverhält- nis oder eine andere rechtliche Beziehung auch nicht annähernd substantiieren. Sie machte lediglich geltend, dass ihr Vater seine Vermögenswerte auf sie und ih- ren Bruder übertragen habe und sie demzufolge in seine Rechtsstellung eingetre- ten sei (vgl. Urk. 78 S. 35); welche Vermögenswerte genau gemeint sind, blieb unerfindlich. Sie machte jedoch nicht geltend, dass ihr Bruder von Anfang an die- sen Vermögenswerten beteiligt gewesen sei. Da ihr Vater jedoch nachweislich nie formeller Eigentümer der Beklagten war, konnte er allfällige Rechte an der Be- klagten weder auf die Klägerin noch auf ihren Bruder übertragen. Solches wäre allenfalls möglich gewesen, wenn zwischen C._____ und der Beklagten eine</w:t>
      </w:r>
    </w:p>
    <w:p>
      <w:r>
        <w:t>- 29 - Treuhandabrede bestanden hätte und die Klägerin als Treugeberin in die Rechts- position ihres Vaters als Vertragspartei eingetreten wäre. Dies bringt die Klägerin jedoch nicht vor (Urk. 78 S. 36). Auch von der Beklagten wird bestritten, dass eine solche Abrede bestand. Zudem macht die Klägerin auch nicht geltend, dass allen- falls ihr Bruder ihr irgendwelche Rechte oder Rechtspositionen an einer oder mehreren dieser Gesellschaften oder Vermögenswerte eingeräumt habe. Auch er war wie der Vater nie formeller Eigentümer der Beklagten und wäre daher dazu wohl nicht in der Lage gewesen. Eine Bevollmächtigung der Klägerin gegenüber ihrem Bruder E._____ ist somit nicht relevant, da nicht ersichtlich ist, dass die Klägerin irgendwelche Rechte an der Beklagten hatte, welche ihr Bruder stellver- tretend für sie hätte wahrnehmen können. Es kann auf die zutreffenden Ausfüh- rungen der Vorinstanz verwiesen werden (Urk. 79 S. 26 f.). Ob und inwieweit der Bruder der Klägerin selbst Rechte an durch die Beklagte gehaltenen Vermögens- werten hat bzw. hatte (Urk. 78 S. 37), kann dahingestellt bleiben. Eine Übertragung von durch die Beklagte (allenfalls für Angehörige der Fa- milie A._____C._____E._____) verwalteten Vermögenswerten auf die Klägerin hätte somit lediglich durch die Beklagte selbst erfolgen können. Solches macht die Klägerin jedoch nicht geltend. Auch wenn aufgrund der Angaben der Beklag- ten, welche von der Klägerin weitgehend nicht substantiiert bestritten werden, da- von ausgegangen wird, dass die Beklagte formelle Eigentümerin diverser mit der Familie A._____C._____E._____ irgendwie in Zusammenhang stehender Gesell- schaften war bzw. ist (B2._____, B3._____, H._____), kann die Klägerin mangels konkreter Behauptungen bezüglich ihrer Beziehungen zu den jeweiligen Gesell- schaften keine direkten Rechte zu ihren Gunsten ableiten. Allein eine wirtschaftli- che Berechtigung würde ohnehin nicht genügen. Im Weiteren kann zu diesem Themenkomplex der Übertragung von Vermögenswerten auf die zutreffenden Ausführungen der Vorinstanz verwiesen werden (Urk. 79 S. 23). Zusammenfas- send ist somit davon auszugehen, dass die Klägerin aufgrund der genannten Um- stände keine vertraglichen Beziehungen zur Beklagten hatte, weil weder ihr Bru- der noch ihr Vater ihr diese verschaffen konnte und sie nicht geltend machte, wer ihr diese Rechtsposition sonst verschafft hätte. Es ist somit davon auszugehen, dass die Klägerin mangels vertraglicher Beziehungen keinerlei Ansprüche gegen</w:t>
      </w:r>
    </w:p>
    <w:p>
      <w:r>
        <w:t>- 30 - die Beklagte besitzt. Demgemäss besteht auch kein Auskunftsanspruch gemäss Art. 400 Abs. 1 OR. Zu den Voraussetzungen für einen solchen kann auf die zu- treffenden Ausführungen der Vorinstanz verwiesen werden (Urk. 79 S. 20 ff.). b) Entgegen der Auffassung der Klägerin geht es nicht an, alle offenen Sachverhaltselemente und Fragen ohne entsprechende Behauptungen durch ein Beweisverfahren klären zu wollen, wenn ihr wie vorliegend die Beweislast (für den behaupteten Vertragsschluss) obliegt (Urk. 78 S. 30). Die Behauptungs- und Sub- stantiierungslast folgt der Beweislast (BGer 5A_304/2015 vom 23. November 2015, E. 10.3; 5A_219/2017 vom 10. Januar 2018, E. 3.3.2, je m.Hinw. auf BGE 132 III 186 E. 4 S. 191; s.a. BSK ZGB I-Lardelli/Vetter, Art. 8 N 29 [und N 31] m.w.Hinw.). Deshalb trifft diejenige Partei, die gemäss Art. 8 ZGB die Beweislast für eine bestimmte Tatsache trägt, auch die Behauptungs- und Substantiierungs- last bezüglich dieser Tatsache. Nach der vorliegend massgeblichen Verhand- lungsmaxime haben die Parteien dem Gericht die Tatsachen, auf die sie ihr Be- gehren stützen, darzulegen und die Beweismittel anzugeben (Art. 55 Abs. 1 ZPO). Welche Tatsachen zu behaupten (und gegebenenfalls zu substantiieren) sind, richtet sich nach der materiell-rechtlichen Anspruchsgrundlage. Die Parteien haben alle Tatbestandselemente der materiellrechtlichen Normen zu behaupten, die den geltend gemachten Anspruch begründen. Sie haben in ihrem Tatsachen- vortrag in allgemeiner Weise sämtliche Tatsachen zu benennen, die unter die massgeblichen (auch vertraglichen) Normen zu subsumieren sind bzw. eine Sub- sumtion des Sachverhalts unter diese Normen ermöglichen. Versäumt es die be- weisbelastete Partei, eine anspruchsbegründende Tatsache zu behaupten, bleibt notwendigerweise auch der Beweis aus; ein fehlendes Sachvorbringen steht dem unbewiesenen gleich (BK ZPO I-Hurni, Art. 55 N 15 m.w.Hinw.). Die beweisbelas- tete Partei hat somit auch die Folgen zu tragen, wenn eine entscheidrelevante Tatsache nicht prozesskonform behauptet wurde. Ausnahmen erfährt die Behaup- tungslast insbesondere bei offenkundigen Tatsachen, also solchen, die jeder- mann kennt oder an denen vernünftigerweise nicht gezweifelt werden kann, sowie bezüglich Umständen, die der allgemeinen sicheren Wahrnehmung zugänglich sind. Sie dürfen im Prozess als bekannt vorausgesetzt werden und brauchen we- der behauptet noch bewiesen zu werden (zum Ganzen BGer 5A_471/2020 vom</w:t>
      </w:r>
    </w:p>
    <w:p>
      <w:r>
        <w:t>- 31 - 28. Januar 2021, E. 4.2.2 m.w.Hinw.; OGer ZH PP180026 vom 15.01.2019, E. 3.3.1). Entgegen der Auffassung der Klägerin genügt es demnach nicht, wenn die Parteien irgendwelche Tatsachen vorbringen (Urk. 78 S. 32). Auch wenn das Ge- richt das Recht von Amtes wegen anwendet, müssen dennoch konkret diejenigen Tatsachen behauptet und gegebenenfalls substantiiert werden, welche den mate- riell-rechtlichen Anspruch zu begründen vermögen. Es geht nicht an, wahllos Be- hauptungen ohne Kontext zu einem konkreten Anspruch vorzubringen. Da die Klägerin wie oben ausgeführt und von der Vorinstanz richtig erkannt (Urk. 79 S. 25 f.), keine substantiierten Behauptungen bezüglich ihrer vertraglichen bzw. ihrer irgendwie gearteten Beziehungen zur Beklagten aufstellte, kann von einer Verlet- zung des rechtlichen Gehörs bzw. des Rechts auf Beweis (Urk. 78 S. 43) durch die unterbliebene Beweisabnahme keine Rede sei. Eine solche war aufgrund der mangelhaften Tatsachenbehauptungen nicht möglich.</w:t>
      </w:r>
    </w:p>
    <w:p>
      <w:r>
        <w:rPr>
          <w:b/>
        </w:rPr>
        <w:t>E. 5</w:t>
      </w:r>
    </w:p>
    <w:p>
      <w:r>
        <w:t>a) Die Klägerin machte als alternative Rechtsgrundlage für ihre Ansprü- che das Vorliegen einer Geschäftsführung ohne Auftrag durch die Beklagte gel- tend (Urk. 25 S. 30). Als ersten Anknüpfungspunkt nannte sie die Übernahme der Aktien der B2._____ von der B4._____ durch die Beklagte, ohne dass die Beklag- te dafür einen Auftrag von ihr oder ihrem Bruder gehabt habe. Der zweite Anknüp- fungspunkt bestehe darin, dass die Beklagte nach Aufhebung der Beschlagnah- me über die Vermögenswerte der Klägerin ihr diese nicht frei gegeben habe (Urk. 25 S. 31). Die Klägerin äussert sich nicht explizit, ob sie von einer echten oder unechten Geschäftsführung ohne Auftrag ausgehe. Aufgrund ihrer Vorbringen, wonach F._____ via die Beklagte die Geschäftsführung an sich gerissen habe, um bösgläubig die der Klägerin zustehenden Vermögenswerte und die daraus erwachsenen Gewinne zu vereinnahmen, ist anzunehmen, dass sie eine Ge- schäftsanmassung im Sinne einer unechten bösgläubigen Geschäftsführung ohne Auftrag (Art. 423 OR) geltend machen will. Da eine Geschäftsführung ohne Auf- trag im Folgenden jedoch verneint wird, kann die Qualifikation offenbleiben. b) Die Vorinstanz verneinte das Vorliegen einer Geschäftsführung ohne Auf- trag. Auch wenn kein Auftragsverhältnis zwischen der Klägerin und der Beklagten</w:t>
      </w:r>
    </w:p>
    <w:p>
      <w:r>
        <w:t>- 32 - vorliege, so bedeute dies nicht, dass die Beklagte ohne Auftrag gehandelt habe (Urk. 79 S. 30). Die Klägerin erwähne mit keinem Wort, weshalb die Beklagte nicht ohne einen Auftrag von ihr oder ihrem Bruder Aktien der B4._____ hätte übernehmen dürfen. Ein allfälliges Vertragsverhältnis der Klägerin zur B4._____ werde nicht geltend gemacht, ebenso wenig dass sie zum damaligen Zeitpunkt bereits an den Aktien der B2._____ hätte berechtigt sein sollen (Urk. 79 S. 30). c) Die Klägerin behauptete, auch an den Vermögenswerte der B4._____ (Urk. 20 S. 16) wirtschaftlich berechtigt gewesen zu sein. Ursprünglich sei es C._____ gewesen, später sie und ihr Bruder (Urk. 25 S. 47). Die Beklagte führte dazu aus, dass sie nie Vermögenswerte von C._____ und/oder der Klägerin ge- halten habe. E._____ habe für seinen Vater C._____ eine Gesellschaft gewollt, die für ihn auf diskrete Weise Immobilien in D._____ habe halten können. Diese Gesellschaft sei mit der B4._____ GesmbH, einer aktiven österreichischen Immo- biliengesellschaft, gefunden worden. Die B4._____ sei völlig unabhängig von der Beklagten gewesen. Sie habe ihrerseits einen Treuhandvertrag mit der H._____ Industries Ltd. (H._____; eingetragen auf den I._____, Urk. 3/19 S. 9) geschlos- sen; letztere Gesellschaft habe wirtschaftlich C._____ gehört. Wirtschaftlich Be- rechtigter der B4._____ sei J._____ gewesen. Infolge der Presseberichterstattung im Rahmen des Strafverfahrens gegen C._____ und E._____ sei es zum Konkurs der B4._____ gekommen. Die Beteiligung der B4._____ an B2._____ sei von der Konkursverwaltung der B4._____ an die Beklagte abgetreten worden. Das Treu- handverhältnis, das zuvor zwischen B4._____ und H._____ bestanden habe, ha- be danach zwischen der Beklagten und H._____ bestanden. Sämtliche Aktien der H._____ seien seit Ende 2007 vom D._____ Staat verarrestiert. Die Rechte der B2._____ würden heute von der Beklagten gehalten. Die B2._____ halte die Ak- tien der B3._____ (Urk. 20 S. 16 f.). Die Klägerin bestritt diese Ausführungen in- soweit, als sie erklärte, dass ursprünglich C._____ und später sie und ihr Bruder wirtschaftlich an den Vermögenswerten der B4._____ berechtigt gewesen seien. Sie bestritt jedoch weder das Treuhandverhältnis zwischen H._____ und der B4._____ noch die wirtschaftliche Berechtigung von J._____ an der B4._____ ex- plizit. Dass die Gesellschaft B4._____ in Konkurs fiel, wurde ebenfalls nicht de- mentiert. Auch nicht konkret bestritten wurde die Behauptung, dass die Konkurs-</w:t>
      </w:r>
    </w:p>
    <w:p>
      <w:r>
        <w:t>- 33 - verwaltung (der Gesellschaft B4._____) die Beteiligung der B4._____ an B2._____ an die Beklagte abgetreten habe. Die Klägerin anerkannte, dass die Beklagte heute Eigentümerin der B2._____ ist (Urk. 25 S. 47). Aufgrund dieser Vorbringen der Beklagten ist demnach davon auszugehen, dass die Beteiligung (Aktien) der B4._____ an der B2._____ von der Konkursver- waltung der B4._____ an die Beklagte abgetreten wurde. Es handelt sich somit um ein Rechtsgeschäft zwischen zwei selbständigen Rechtssubjekten (Gesell- schaften), wobei die B4._____ durch die Konkursverwaltung vertreten wurde. Da die Klägerin lediglich eine wirtschaftliche Berechtigung und keine Eigentümer- schaft an den Vermögenswerten, welche die B4._____ hielt, geltend machte (Urk. 25 S. 47) und kein Treuhandvertrag mit der Beklagten besteht, kann sie der Be- klagten nicht vorwerfen, sie habe eigenmächtig ohne einen konkreten Auftrag der Klägerin oder ihres Bruders gehandelt. Die Beklagte war dazu als selbständige ju- ristische Person ohne Weiteres berechtigt. Eine Geschäftsführung ohne Auftrag lässt sich somit bezüglich dieses Sachverhalts entgegen den Ausführungen der Klägerin in der Berufungsbegründung (Urk. 78 S, 39 f.) nicht erkennen. d) Die Klägerin warf der Beklagten weiter vor, dass sie die der Klägerin ge- hörenden Vermögenswerte nach Aufhebung der Beschlagnahme hätte herausge- ben müssen. F._____ habe via die Beklagte die Geschäftsführung an sich geris- sen, um bösgläubig die der Klägerin zustehenden Vermögenswerte und die dar- aus erwachsenden Gewinne zu vereinnahmen (Urk. 25 S. 31). Die Vorinstanz er- klärte, es sei korrekt, dass mit Entscheid vom 2. Juli 2008 die Beschlagnahme über Vermögenswerte, die direkt oder indirekt der Klägerin gehörten, aufgehoben worden sei. Die wirtschaftliche Berechtigung alleine begründe jedoch keine mate- riell-rechtlichen Herausgabeansprüche. Weshalb die Beklagte verpflichtet gewe- sen sein sollte, die Vermögenswerte an die Klägerin herauszugeben, sei nicht er- sichtlich (Urk. 79 S. 30). Die Klägerin rügte diese Erwägungen als rechtsfehlerhaft. Sie erklärte, dass nicht ersichtlich sei, weshalb die Beklagte diese für die Klägerin gehaltenen Ver- mögenswerte nicht herausgeben müsse, nachdem die Vermögensbeschlagnah- me gegenüber der Klägerin aufgehoben worden sei. Sie stütze ihre Ansprüche</w:t>
      </w:r>
    </w:p>
    <w:p>
      <w:r>
        <w:t>- 34 - denn auch nicht allein auf die wirtschaftliche Berechtigung, sondern auf das der wirtschaftlichen Berechtigung zugrundeliegende Rechtsverhältnis (Treuhandver- trag/Auftrag, subsidiär Geschäftsführung ohne Auftrag). Beide Rechtsverhältnisse würden ihr einen Herausgabeanspruch verschaffen, der spätestens mit der vorlie- genden Klage gegenüber der Beklagten geltend gemacht werden könne (Urk. 78 S. 41). F._____ habe die freigegebenen Vermögenswerte der Klägerin weiterhin in den von ihm aufgezogenen Strukturen behalten, namentlich in der Beklagten (Urk. 25 S. 28). Die Beklagte erklärte, dass sie von der Vermögenssperre nicht di- rekt erfasst sei. Da jedoch weiterhin eine Vermögenssperre gegen H._____ be- stehe, wirke sich diese auch auf die Beklagte als Treuhänderin von H._____ und die von ihr gehaltenen B1._____-Beteiligungen aus, da H._____ darüber nicht verfügen könne und dürfe. Die Klägerin hätte jedoch auch ohne behördliche Mas- snahmen keinen Anspruch auf Beteiligungen der Beklagten (Urk. 35 S. 15). Wie oben ausgeführt, ist das Vorliegen eines Vertragsverhältnisses zwi- schen der Klägerin und der Beklagten zu verneinen, weshalb sie keine Ansprüche aus diesem Rechtsgrund geltend machen kann. Zwar ist davon auszugehen, dass die Klägerin bezüglich einiger der im Beschluss betreffend Aufhebung der Vermö- gensbeschlagnahme (Urk. 3/19) aufgeführter Gesellschaften zu einem gewissen Prozentsatz wirtschaftlich berechtigt ist (Urk. 3/18), doch bedeutet dies nicht, dass sie einen direkten Anspruch auf die Aushändigung von entsprechenden Vermö- genswerten hat. Die Klägerin machte pauschal geltend, dass die Beklagte ihr die von der Beschlagnahme befreiten Vermögenswerte aushändigen müsse, weil sie ohne einen Auftrag ihrerseits weiter darüber verfüge. Die Klägerin unterlässt es, die betreffenden Vermögenswerte konkret zu benennen. Soweit sie sich auf die von ihr eingereichte Entscheidung des Staatsanwaltes J. Juriss vom 2. Juli 2008, welche ein Liste der beschlagnahmten und wieder freigegebenen Vermögenswer- te der Klägerin enthält (Urk. 3/19), berufen will, mangelt es auch diesbezüglich an einer genügenden Substantiierung: aa) Bezüglich der freigegebenen Vermögenswerte unter Ziff. 1 (1.1.-1.48) handelt es sich um hälftige Miteigentumsanteile der Klägerin an Immobilien in D._____. Aus dem Entscheid des Staatsanwaltes geht nicht hervor, ob diese von</w:t>
      </w:r>
    </w:p>
    <w:p>
      <w:r>
        <w:t>- 35 - der Klägerin direkt oder indirekt über eine oder mehrere Gesellschaften (allenfalls B4._____ oder eine andere Gesellschaft) gehalten wurden. Ein direkter Bezug zur Beklagten ist aus dieser Liste jedenfalls nicht ersichtlich. Inwieweit die Beklagte oder eine der Gesellschaften im Gesamtkonstrukt, an denen die Klägerin wirt- schaftlich berechtigt ist, über diese Liegenschaftsanteile verfügen kann, ist nicht bekannt und wurde von der Kläger nicht dargelegt. Es bestehen daher keine An- haltspunkte, dass die Beklagten überhaupt in der Lage wäre, diese Vermögens- werte an die Klägerin herauszugeben. Die Klägerin unterliess jegliche Substantiie- rung. So ist auch nicht bekannt, wem der oder die andern Miteigentumsanteile gehören. bb) Gemäss Ziff. 2 der erwähnten Entscheidung wurden Aktien bzw. Gesell- schaftsanteile verschiedener Gesellschaften, an denen die Klägerin wirtschaftlich berechtigt ist, wieder freigegeben. Aktien folgender Gesellschaften wurden zur Verwahrung an die K._____ Ltd., an welcher die Klägerin wirtschaftlich berechtigt ist (vgl. Urk. 3/18) und welche durch F._____ vertreten wird, übergeben (Urk. 3/19 S. 10 f.): - Ziff. 2.20: L._____ LIMITED - Ziff. 2.24: H._____ LIMITED - Ziff. 2.26: M._____ LIMITED - Ziff. 2.27: N._____ CORPORATION - Ziff. 2.28: O._____ LIMITED - Ziff. 2.29: P._____ N.V. - Ziff. 2.35: Q._____ N.V. cc) Bei weiteren Vermögensrechten (Ziff. 2.21-23: Gesellschaftsanteile der Klägerin an diversen Gesellschaften) ist unklar, wie damit verfahren wurde bzw. ob die Anteile gegenüber der jeweiligen Gesellschaft einfach wieder freigegeben wurden. Es wurden auch 333 Aktien der R._____ LIMITED freigegeben (Ziff.</w:t>
      </w:r>
    </w:p>
    <w:p>
      <w:r>
        <w:t>- 36 - 2.25), welche auf den Namen der S._____ S.A. eingetragen sind, an welcher die Klägerin wirtschaftlich berechtigt ist (Urk. 3/18). Insgesamt handelt es sich auch bei den weiteren freigegebenen Vermögenswerten um Aktien oder Anteile der Beklagten als wirtschaftlich Berechtigte an diversen Gesellschaften (Ziff. 30-2.34). Keine dieser Vermögenswerte wurden jedoch an die Beklagte übergeben, son- dern alle an die zugehörigen Gesellschaften oder zur (Treuhand)Verwahrung an andere Gesellschaften des Gesamtkonstrukts. Unter Ziff. 3 und 4 der Entschei- dung wurden ebenfalls diverse Anteile an Gesellschaften, an denen die Klägerin wirtschaftlich berechtigt ist, freigegeben. Es bestehen jedoch keine Anhaltspunkte oder Vorbringen der Klägerin, dass die Beklagte in der Folge darüber verfügen konnte. Zusammenfassend ist festzuhalten, dass es die Klägerin auch im Zusam- menhang mit den Ausführungen zur behaupteten Geschäftsführung ohne Auftrag an jeglicher Substantiierung mangeln liess. Ein Verweis auf Urk. 3/19 ist ungenü- gend, da die Urkunde nicht selbsterklärend ist. Die Beklagte konnte sich daher auch nicht detailliert zu den Vorwürfen der Klägerin äussern. Da - soweit nach- vollziehbar - keine dieser Vermögenswerte der Beklagten, sondern allenfalls nur von ihr verwalteten Gesellschaften übergeben wurden, hätte die Klägerin die be- treffenden Gesellschaften zwecks Auskunftserteilung und Herausgabe einklagen müssen. Die Klägerin machte nämlich in keiner Weise geltend, inwiefern die Be- klagte in Missachtung der eigenen Rechtspersönlichkeit dieser Gesellschaften ei- nen Durchgriff hätte vornehmen können. Von einer unechten böswilligen Ge- schäftsführung ohne Auftrag der Beklagten kann keine Rede sein. Es besteht so- mit keine Rechtsgrundlage für eine Auskunftserteilung durch die Beklagte. Das entsprechende Begehren der Klägerin ist abzuweisen.</w:t>
      </w:r>
    </w:p>
    <w:p>
      <w:r>
        <w:rPr>
          <w:b/>
        </w:rPr>
        <w:t>E. 6</w:t>
      </w:r>
    </w:p>
    <w:p>
      <w:r>
        <w:t>Schriftliche Mitteilung an die Parteien sowie an die Vorinstanz,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21.5 Mio. Die Beschwerde an das Bundesgericht hat keine aufschiebende Wirkung. Hinsichtlich des Fristenlaufs gelten die Art. 44 ff. BGG.</w:t>
      </w:r>
    </w:p>
    <w:p>
      <w:r>
        <w:t>- 43 - Zürich, 10. November 2022 Obergericht des Kantons Zürich I. Zivilkammer Der Vorsitzende: Die Gerichtsschreiberin: lic. iur. A. Huizinga MLaw L. Hengartner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