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LB200048 vom 8. Juli 2021</w:t>
      </w:r>
    </w:p>
    <w:p>
      <w:r>
        <w:t>ZH Obergericht, 2021-07-08, DE</w:t>
      </w:r>
    </w:p>
    <w:p>
      <w:r>
        <w:rPr>
          <w:b/>
        </w:rPr>
        <w:t xml:space="preserve">Quelle: </w:t>
      </w:r>
      <w:r>
        <w:t>https://mcp.opencaselaw.ch/entscheid/zh_obergericht_LB200048</w:t>
      </w:r>
    </w:p>
    <w:p>
      <w:r>
        <w:t>FR: ZH_OBERGERICHT LB200048 du 8 juillet 2021</w:t>
      </w:r>
    </w:p>
    <w:p>
      <w:r>
        <w:t>IT: ZH_OBERGERICHT LB200048 del 8 luglio 2021</w:t>
      </w:r>
    </w:p>
    <w:p>
      <w:pPr>
        <w:pStyle w:val="Heading2"/>
      </w:pPr>
      <w:r>
        <w:t>Erwägungen</w:t>
      </w:r>
    </w:p>
    <w:p>
      <w:r>
        <w:rPr>
          <w:b/>
        </w:rPr>
        <w:t>E. 1</w:t>
      </w:r>
    </w:p>
    <w:p>
      <w:r>
        <w:t>Am tt.mm.2016 verstarb D._____ (fortan Erblasserin). Sie hinterliess drei Söhne, welche die Parteien dieses Erbteilungsprozesses sind.</w:t>
      </w:r>
    </w:p>
    <w:p>
      <w:r>
        <w:rPr>
          <w:b/>
        </w:rPr>
        <w:t>E. 2</w:t>
      </w:r>
    </w:p>
    <w:p>
      <w:r>
        <w:t>Das Testament der Erblasserin vom 20. März 2001 wurde am 20. Dezember 2016 eröffnet. Nachdem die Vermittlungsversuche der testamentarisch eingesetz- ten Willensvollstreckerin gescheitert waren, erhoben die Kläger mit Einreichung der Klagebewilligung vom 13. Dezember 2017 und Klageschrift vom 12. Februar 2018 bei der Vorinstanz die vorliegende Erbteilungsklage.</w:t>
      </w:r>
    </w:p>
    <w:p>
      <w:r>
        <w:rPr>
          <w:b/>
        </w:rPr>
        <w:t>E. 3</w:t>
      </w:r>
    </w:p>
    <w:p>
      <w:r>
        <w:t>Da die verschiedenen schriftlichen Eingaben des (damals nicht vertretenen) Beklagten den gesetzlichen Anforderungen an eine Klageantwort nicht entspra- chen, wurde ihm Gelegenheit gegeben, seine Klageantwort anlässlich einer In- struktionsverhandlung zu ergänzen. Angesichts seines offensichtlichen Unvermö- gens, den Prozess selbst zu führen, wurde ihm daraufhin gestützt auf Art. 69 ZPO sein heutiger Rechtsvertreter bestellt, der die Klage mit Eingabe vom 22. Januar 2019 beantwortete. Nach einer zweiten Instruktionsverhandlung und nachdem aussergerichtliche Vergleichsgespräche erfolglos geblieben waren, wurde ein zweiter Schriftenwechsel durchgeführt. Am 23. Oktober 2020 fand die Hauptver- handlung statt. Mit Urteil vom 2. November 2020 wies die Vorinstanz die Klage ab, soweit darauf eingetreten wurde. Für Einzelheiten wird auf die Darstellung der Prozessgeschichte im angefochtenen Urteil verwiesen (act. 67 S. 3 ff.).</w:t>
      </w:r>
    </w:p>
    <w:p>
      <w:r>
        <w:rPr>
          <w:b/>
        </w:rPr>
        <w:t>E. 4</w:t>
      </w:r>
    </w:p>
    <w:p>
      <w:r>
        <w:t>Gegen das laut Track &amp; Trace am 9. November 2020 zugestellte vorinstanz- liche Urteil erhoben die Kläger und Berufungskläger 1 und 2 mit Eingabe vom</w:t>
      </w:r>
    </w:p>
    <w:p>
      <w:r>
        <w:rPr>
          <w:b/>
        </w:rPr>
        <w:t>E. 9</w:t>
      </w:r>
    </w:p>
    <w:p>
      <w:r>
        <w:t>Dezember 2020 rechtzeitig Berufung mit den oben erwähnten Anträgen (act. 64). Für die Kosten des Berufungsverfahrens leisteten sie einen Vorschuss in der Höhe von CHF 28‘000.00. Der Beklagte und Berufungsbeklagte beantwor- tete die Berufung mit Eingabe vom 15. März 2021 (act. 75). Am 24. Juni 2021 fand eine Instruktionsverhandlung zur gegenseitigen Gewährung des rechtlichen Gehörs mit einer anschliessenden Vergleichsverhandlung statt (vgl. Prot. S. 5 ff. und act. 83), an der sich die Parteien auf die folgende Vereinbarung einigten (act. 85):</w:t>
      </w:r>
    </w:p>
    <w:p>
      <w:r>
        <w:t>- 7 - 1. Der Beklagte verpflichtet sich unter dem Titel Ausgleichszahlung im Sinne von Art. 626 ZGB dem Kläger 1 den Betrag von CHF 156'250.– und dem Kläger 2 ebenfalls den Betrag von CHF 156'250.– zu bezahlen, zahlbar bis spätestens 30. September 2021. 2. Mit Vollzug dieses Vergleichs sind die Parteien mit Bezug auf den Nachlass ihrer Mutter per Saldo aller Ansprüche auseinandergesetzt und ist die Erbengemeinschaft vollständig aufgelöst. Die Parteien sind sich bewusst, dass sie gemäss Art. 639 ZGB wäh- rend fünf Jahren für die Schulden der Erblasserin solidarisch haften. 3. Die Parteien beantragen dem Gericht das Berufungsverfahren LB200048-O gestützt auf diesen Vergleich abzuschreiben. 4. Die Kosten des Berufungsverfahrens übernehmen die Kläger und der Beklagte je zur Hälfte und sie verzichten gegenseitig auf eine Pro- zessentschädigung. 5. Gestützt auf diese schriftliche, von den Parteien unterzeichnete Vereinba- rung ist das Verfahren unter vereinbarungsgemässer Regelung der Kosten- und Entschädigungsfolgen abzuschreiben (Art. 241 ZPO). Die erstinstanzliche Rege- lung der Kosten- und Entschädigungsfolgen wird von der Vereinbarung der Par- teien nicht berührt und bleibt daher bestehen, was zur Klarstellung festzuhalten ist.</w:t>
      </w:r>
    </w:p>
    <w:p>
      <w:r>
        <w:t>- 8 - Es wird beschlossen: 1. Das Verfahren wird abgeschrieben. 2. Die erstinstanzliche Regelung der Kosten- und Entschädigungsfolgen (Dis- positiv-Ziffern 2-4 des Urteils des Bezirksgerichts Winterthur vom 2. Novem- ber 2020) wird bestätigt. 3. Die zweitinstanzliche Entscheidgebühr wird auf Fr. 14'000.– festgesetzt und den Berufungsklägern je zu einem Viertel (unter solidarischer Haftung auf die Hälfte) und dem Berufungsbeklagten zur Hälfte auferlegt. Die Kosten des zweitinstanzlichen Verfahrens werden aus dem von den Be- rufungsklägern geleisteten Vorschuss von Fr. 28'000.– bezogen. Der ver- bleibende Überschuss wird den Berufungsklägern unter dem Vorbehalt all- fälliger Verrechnungsansprüche des Staates zurückerstattet und der Beru- fungsbeklagte wird verpflichtet, dem Berufungskläger 1 und dem Berufungs- kläger 2 je Fr. 3'500.– zu ersetzen. 4. Vom gegenseitigen Verzicht der Parteien auf eine Parteientschädigung für das Berufungsverfahren wird Vormerk genommen. 5. Schriftliche Mitteilung an die Parteien sowie an das Bezirksgericht Winter- thur,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- 9 - Dies ist ein Endentscheid im Sinne von Art. 90 BGG. Es handelt sich um eine vermögensrechtliche Angelegenheit. Der Streitwert beträgt rund Fr. 880'000.–.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Die Gerichtsschreiberin: MLaw R. Schneebeli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