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LB200039 vom 18. März 2021</w:t>
      </w:r>
    </w:p>
    <w:p>
      <w:r>
        <w:t>ZH Obergericht, 2021-03-18, DE</w:t>
      </w:r>
    </w:p>
    <w:p>
      <w:r>
        <w:rPr>
          <w:b/>
        </w:rPr>
        <w:t xml:space="preserve">Quelle: </w:t>
      </w:r>
      <w:r>
        <w:t>https://mcp.opencaselaw.ch/entscheid/zh_obergericht_LB200039</w:t>
      </w:r>
    </w:p>
    <w:p>
      <w:r>
        <w:t>FR: ZH_OBERGERICHT LB200039 du 18 mars 2021</w:t>
      </w:r>
    </w:p>
    <w:p>
      <w:r>
        <w:t>IT: ZH_OBERGERICHT LB200039 del 18 marzo 2021</w:t>
      </w:r>
    </w:p>
    <w:p>
      <w:pPr>
        <w:pStyle w:val="Heading2"/>
      </w:pPr>
      <w:r>
        <w:t>Erwägungen</w:t>
      </w:r>
    </w:p>
    <w:p>
      <w:r>
        <w:rPr>
          <w:b/>
        </w:rPr>
        <w:t>E. 1</w:t>
      </w:r>
    </w:p>
    <w:p>
      <w:r>
        <w:t>Wie die Vorinstanz einleitend zum angefochtenen Entscheid vom 15. Mai 2020 festhielt (act. 70 S. 3), geht es in diesem Verfahren um eine Forderung der Klägerin für bezahlte Pflegekosten der Mutter der Beklagten sel. (nachfolgend C._____) im Wohn- und Pflegeheim D._____ in E._____. Die Klage stützt sich auf einen ehegüterrechtlichen Anspruch (Art. 220 Abs. 1 ZGB), in deren Zentrum ein Liegenschaftsverkauf des Vaters der Beklagten (nachfolgend F._____) an die Be- klagte unter Verkehrswert steht. Die Klägerin macht geltend, dass die Liegen- schaft zur Errungenschaft des Vaters gehöre, womit der verstorbenen C._____ eine Beteiligungsforderung von rund Fr. 250'000.– (Hälfe des damaligen Ver- kehrswertes der Liegenschaft) zustehe, die in den Nachlass der Verstorbenen fal- le. Diese Beteiligungsforderung wird – nach Abtretung des Anspruchs an die Klä- gerin – im Umfang des ungedeckt gebliebenen Teils der klägerischen Forderung für Pflegekosten in der Höhe von Fr. 113'115.55 geltend gemacht (act. 2 S. 2 f.).</w:t>
      </w:r>
    </w:p>
    <w:p>
      <w:r>
        <w:rPr>
          <w:b/>
        </w:rPr>
        <w:t>E. 2</w:t>
      </w:r>
    </w:p>
    <w:p>
      <w:r>
        <w:t>Nachdem die Klägerin am 13. August 2018 das Schlichtungsgesuch einge- reicht hatte, wurden die Parteien vom Friedensrichteramt der Stadt Zürich, Kreise … und … auf den 26. September 2018 zur Schlichtungsverhandlung vorgeladen, welcher die Beklagte fernblieb, worauf die Klagebewilligung ausgestellt wurde, welche die Klägerin mit der Klageschrift vom 12. Januar 2019 beim Bezirksgericht Zürich (Vorinstanz) einreichte. Die Beklagte liess sowohl die mit Verfügung vom 15. März 2019 angesetzte Frist für die Klageantwort als auch eine mit Verfügung vom 16. April 2019 angesetzte Nachfrist ungenutzt verstreichen. Am 9. Mai 2019 - ein Tag nach Fristablauf - meldete sie sich telefonisch bei der Vorinstanz und bat um eine Erstreckung und auf einen entsprechenden Hinweis stellte sie dieses Gesuch noch am gleichen Tag schriftlich. Die Klägerin sprach sich mit Eingabe vom 3. Juni 2019 gegen eine Wiederherstellung aus. Am 5. Juni 2019 reichte die Beklagte unaufgefordert eine</w:t>
      </w:r>
    </w:p>
    <w:p>
      <w:r>
        <w:t>- 4 - schriftliche Klageantwort ein. Mit Verfügung vom 26. Juli 2019 wies die Vorinstanz das sinngemässe Wiederherstellungsgesuch der Beklagten ab, hielt fest, dass die Klageantwort vom 5. Juni 2019 als nicht erfolgt gelte, und kündigte die Durchfüh- rung einer Hauptverhandlung an. Nachdem ihre heutige Vertreterin mit Eingabe vom 28. August 2019 die Über- nahme der Vertretung der Beklagten bekannt gegeben hatte, wartete die Vo- rinstanz mit der Ansetzung einer Hauptverhandlung zu und verwies die Parteien auf aussergerichtliche Gespräche, die jedoch nicht stattfanden, wie sich aus der Eingabe der Beklagten vom 18. November 2019 ergab. Mit Verfügung vom 28. Februar 2020 teilte die Vorinstanz mit, dass von der Durchführung einer Hauptverhandlung abgesehen werde und der Prozess sich in Beratung befinde. Mit Eingaben vom 6. und 9. März 2020 ersuchte die Beklagte darum, diese Verfü- gung in Wiedererwägung zu ziehen und zur Hauptverhandlung vorzuladen. Die Klägerin verlangte mit Eingabe vom 18. März 2020 die Abweisung dieses Ge- suchs. Mit Eingabe vom 31. März 2020 stellte daraufhin die Beklagte ein Gesuch um Fristwiederherstellung und Vorladung zur Hauptverhandlung. Im Beschluss und Urteil vom 15. Mai 2020 wies die Vorinstanz diesen prozessua- len Antrag der Beklagten ab (Beschluss) und fällte in der Sache ein Säumnisurteil und hiess die Klage gestützt auf die formell unbestritten gebliebene Darstellung der Klägerin gut.</w:t>
      </w:r>
    </w:p>
    <w:p>
      <w:r>
        <w:rPr>
          <w:b/>
        </w:rPr>
        <w:t>E. 3</w:t>
      </w:r>
    </w:p>
    <w:p>
      <w:r>
        <w:t>Zur Krankheit ist anzumerken, dass diese nicht in eine Frist fiel und die Be- klagte damit nicht unmittelbar an der Einhaltung der ordentlichen Frist oder der Nachfrist hinderte. In der Verfügung vom 26. Juli 2019 hatte die Vorinstanz der Beklagten ferner vorgehalten, sie lege nicht dar, inwiefern sich die vorherige ge- sundheitliche Einschränkung auf ihre Möglichkeit ausgewirkt habe, nach Erhalt der Nachfristansetzung zu reagieren. Offenbar sei sie danach gar in der Lage ge- wesen, vom 19. April 2019 bis 5. Mai 2019 in die Ferien zu gehen. Diese selbst- gewählte Abwesenheit habe sie nicht davon entbunden, die notwendigen Vorkeh- rungen zu treffen, damit allfällige Fristen eingehalten werden könnten, was auch für die von ihr erwähnte Anwaltssuche gelte. Diese Schritte habe die Beklagte auch noch einige Tage nach Rückkehr aus den Ferien unterlassen. Damit liege ein grobes Selbstverschulden vor, das eine Wiederherstellung der Frist aus- schliesse (act. 27 S. 4 E. 4.4). Die Dramatik und Tragik der jüngsten Ereignisse kann sich nicht auf die Beurtei- lung dieser weiter zurückliegenden Vorgänge auswirken und ändert nichts am Er- gebnis der Beurteilung. Im Übrigen ist dem Befund der Vorinstanz nichts beizufü- gen. Das Verschulden der Beklagten an ihrer mehrfachen Säumnis kann aufgrund der Akten und ihrer eigenen Darstellung nicht anders denn als grob bezeichnet werden. Die Abweisung ihrer wiederholten Fristwiederherstellungsgesuche durch die Vorinstanz ist nicht zu beanstanden.</w:t>
      </w:r>
    </w:p>
    <w:p>
      <w:r>
        <w:rPr>
          <w:b/>
        </w:rPr>
        <w:t>E. 4</w:t>
      </w:r>
    </w:p>
    <w:p>
      <w:r>
        <w:t>Für den Fall, dass das Gericht bei seiner Auffassung bleibe, dass ein grobes Selbstverschulden vorliege, das eine Wiederherstellung der Frist ausschliesse, müsse - so die Beklagte weiter - das Verfahren gemäss Art. 223 ZPO entweder im Entscheidstadium oder im Hauptstadium fortgesetzt werden. Am 6. bzw.</w:t>
      </w:r>
    </w:p>
    <w:p>
      <w:r>
        <w:t>- 7 -</w:t>
      </w:r>
    </w:p>
    <w:p>
      <w:r>
        <w:rPr>
          <w:b/>
        </w:rPr>
        <w:t>E. 9</w:t>
      </w:r>
    </w:p>
    <w:p>
      <w:r>
        <w:t>Die Beklagte ist der Meinung, das Urteil der Vorinstanz sei auch deshalb aufzuheben, weil es widersprüchlich sei, da die Vorinstanz in ihrer Verfügung vom 26. Juli 2019 ausgeführt habe, der Fall erweise sich nicht als spruchreif, und die Durchführung einer Hauptverhandlung angekündigt habe. Offensichtlich hätten bei der Verfahrensleitung genügend Zweifel an dem Vorbringen der Klägerin be- standen. Im Widerspruch dazu habe die Verfahrensleitung am 28. Februar 2020 verfügt, das Verfahren sei offenbar doch spruchreif (act. 67 S. 12 Ziff. 23). Zwischen dem 26. Juli 2019 und dem 28. Februar 2020 habe sich nichts an der Faktenlage zu Gunsten der Klägerin geändert, es sei im Gegenteil noch durch Dokumente bekräftigt worden, dass der grösste Teil der Forderung bezahlt sei. Das lasse die Verfügung vom 28. Februar 2020 unverständlich bzw. nicht nach- vollziehbar erscheinen. Mit Blick darauf, dass ein Gericht auf prozessleitende Ver- fügungen, die mangelhaft sind, was hier der Fall sei, jederzeit zurückkommen kann, habe die Beklagte am 6. bzw. 9. März 2020 um Wiedererwägung ersucht (act. 67 S. 13 Ziff. 23.6 ff.). Dass die Vorinstanz am 28. Februar 2020 auf ihre prozessleitende Verfügung vom 26. Juli 2019 zurückgekommen ist und von der Durchführung einer Haupt- verhandlung abgesehen hat, ist nicht widersprüchlich, sondern Ausdruck des von der Beklagten selbst angerufenen Grundsatzes, dass ein Gericht jederzeit auf prozessleitende Verfügungen zurückkommen kann. Die Vorinstanz ist nicht an ih- re frühere Einschätzung gebunden, wenn sich diese bei erneuter Betrachtung als falsch erweist. Entscheidend ist, dass die letzte Beurteilung der Vorinstanz, dass das Verfahren spruchreif war, nicht zu beanstanden ist, wie aufgezeigt wurde (vgl. oben 7). Aus</w:t>
      </w:r>
    </w:p>
    <w:p>
      <w:r>
        <w:t>- 11 - dem Umstand, dass die Vorinstanz bzw. eines ihrer Mitglieder diese Frage früher anders beurteilt hatte, kann die Beklagte nichts zu ihren Gunsten ableiten. Ob diese andere Auffassung ebenfalls vertretbar war, ist unerheblich und muss des- halb nicht überprüft werden.</w:t>
      </w:r>
    </w:p>
    <w:p>
      <w:r>
        <w:rPr>
          <w:b/>
        </w:rPr>
        <w:t>E. 10</w:t>
      </w:r>
    </w:p>
    <w:p>
      <w:r>
        <w:t>Zusammenfassend ist festzuhalten, dass die Vorinstanz zu Recht von gro- bem Selbstverschulden der Beklagten an ihrer Säumnis ausging und das Verfah- ren aufgrund der unbestritten gebliebenen Darstellung der Klägerin als spruchreif erachtete und ein Säumnisurteil fällte. Die Berufung ist daher abzuweisen und das Urteil der Vorinstanz zu bestätigen. Mit dem Einwand der (teilweisen) Tilgung ist die Beklagte wie schon vor Vorinstanz (vgl. act. 44) auf das Vollstreckungsverfah- ren zu verweisen. III. Mit der vollumfänglichen Bestätigung des vorinstanzlichen Entscheids bleibt es bei der vorinstanzlichen Regelung der erstinstanzlichen Kosten- und Entschädi- gungsfolgen. Bei diesem Ausgang des Berufungsverfahrens trägt die Beklagte dessen Kosten. Eine Prozessentschädigung hat sie aber nicht zu bezahlen, da der Klägerin keine wesentlichen Umtriebe entstanden sind, die zu entschädigen wären. Es wird erkannt: 1. Die Berufung wird abgewiesen. Das Urteil des Bezirksgerichts Zürich vom</w:t>
      </w:r>
    </w:p>
    <w:p>
      <w:r>
        <w:rPr>
          <w:b/>
        </w:rPr>
        <w:t>E. 15</w:t>
      </w:r>
    </w:p>
    <w:p>
      <w:r>
        <w:t>Mai 2020 wird bestätigt. 2. Die zweitinstanzliche Entscheidgebühr wird auf Fr. 6‘000.00 festgesetzt und der Berufungsklägerin auferlegt. Die Kosten des zweitinstanzlichen Verfahrens werden mit dem von der Berufungsklägerin geleisteten Vorschuss von Fr. 6‘000.00 verrechnet. 3. Schriftliche Mitteilung an die Parteien, an die Berufungsbeklagte unter Beilage von Doppeln der Berufungsschrift samt Beilagenverzeichnis und</w:t>
      </w:r>
    </w:p>
    <w:p>
      <w:r>
        <w:t>- 12 - Beilagen (act. 67 und act. 69/2-13), sowie an das Bezirksgericht Zürich, je gegen Empfangsschein. Nach unbenütztem Ablauf der Rechtsmittelfrist gehen die erstinstanzlichen Akten an die Vorinstanz zurück.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113‘115.55. Die Beschwerde an das Bundesgericht hat keine aufschiebende Wirkung. Obergericht des Kantons Zürich II. Zivilkammer Die Vorsitzende: Die Gerichtsschreiberin: lic. iur. E. Lichti Aschwanden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