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LB200038 vom 11. November 2021</w:t>
      </w:r>
    </w:p>
    <w:p>
      <w:r>
        <w:t>ZH Obergericht, 2021-11-11, DE</w:t>
      </w:r>
    </w:p>
    <w:p>
      <w:r>
        <w:rPr>
          <w:b/>
        </w:rPr>
        <w:t xml:space="preserve">Quelle: </w:t>
      </w:r>
      <w:r>
        <w:t>https://mcp.opencaselaw.ch/entscheid/zh_obergericht_LB200038</w:t>
      </w:r>
    </w:p>
    <w:p>
      <w:r>
        <w:t>FR: ZH_OBERGERICHT LB200038 du 11 novembre 2021</w:t>
      </w:r>
    </w:p>
    <w:p>
      <w:r>
        <w:t>IT: ZH_OBERGERICHT LB200038 del 11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tt.mm 2013 verstarb I._____ in J._____ ZH. Die Kläger und der Be- klagte sind die Erben der Verstorbenen und bilden zusammen eine Erbengemein- schaft im Sinne von Art. 560 ZGB (Urk. 6/4/10). Am 11. März 2020 reichten die Kläger beim Friedensrichteramt K._____ ein Schlichtungsgesuch ein und stellten Anträge zur Erbteilung. Zur Schlichtungsverhandlung vom 22. Juni 2020 erschie- nen die Klägerin 2 und Rechtsanwältin Y1._____ als Rechtsvertreterin der Kläger. Der Friedensrichter hielt in der gleichentags ausgestellten Klagebewilligung fest, die Schlichtungsverhandlung sei gescheitert (Urk. 6/1).</w:t>
      </w:r>
    </w:p>
    <w:p>
      <w:r>
        <w:rPr>
          <w:b/>
        </w:rPr>
        <w:t>E. 2</w:t>
      </w:r>
    </w:p>
    <w:p>
      <w:r>
        <w:t>Der Friedensrichter, Herr L._____, habe wegen Befangenheit in den Ausstand zu treten.</w:t>
      </w:r>
    </w:p>
    <w:p>
      <w:r>
        <w:rPr>
          <w:b/>
        </w:rPr>
        <w:t>E. 3</w:t>
      </w:r>
    </w:p>
    <w:p>
      <w:r>
        <w:t>Die Kosten- und Entschädigungsfolgen seien dem Friedensrich- teramt K._____ zu auferlegen.</w:t>
      </w:r>
    </w:p>
    <w:p>
      <w:r>
        <w:rPr>
          <w:b/>
        </w:rPr>
        <w:t>E. 4</w:t>
      </w:r>
    </w:p>
    <w:p>
      <w:r>
        <w:t>Der Beklagte hat ein Ausstandsbegehren gegen den Friedensrichter L._____ gestellt. Über streitige Ausstandsbegehren gegen Friedensrichter ent- scheidet das Bezirksgericht (§ 127 lit. c GOG). Darauf ist nicht einzutreten. Ob das Ausstandsbegehren verspätet gestellt wurde, wie die Kläger geltend machen (Urk. 10 S. 6), kann unter diesen Umständen offenbleiben.</w:t>
      </w:r>
    </w:p>
    <w:p>
      <w:r>
        <w:rPr>
          <w:b/>
        </w:rPr>
        <w:t>E. 5</w:t>
      </w:r>
    </w:p>
    <w:p>
      <w:r>
        <w:t>Zusammenfassend ist die Berufung des Beklagten abzuweisen, soweit auf sie eingetreten werden kann. IV. Ausgangsgemäss wird der Beklagte für das Berufungsverfahren kosten- und entschädigungspflichtig (§ 106 Abs. 1 ZPO). Der Streitwert beträgt rund Fr. 400'000.– (Urk. 6/5 S. 2). Die Entscheidgebühr ist auf Fr. 4'700.– festzusetzen (§ 12 Abs. 1 und 2 i.V.m. § 4 Abs. 1 und 2 und § 9 Abs. 2 GebV), die Parteient- schädigung auf Fr. 4'600.– inkl. 7,7 % MwSt. (§ 13 Abs. 1 i.V.m. § 2 und § 10 lit. a AnwGebV).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