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LB200036 vom 2. Juni 2022</w:t>
      </w:r>
    </w:p>
    <w:p>
      <w:r>
        <w:t>ZH Obergericht, 2022-06-02, DE</w:t>
      </w:r>
    </w:p>
    <w:p>
      <w:r>
        <w:rPr>
          <w:b/>
        </w:rPr>
        <w:t xml:space="preserve">Quelle: </w:t>
      </w:r>
      <w:r>
        <w:t>https://mcp.opencaselaw.ch/entscheid/zh_obergericht_LB200036</w:t>
      </w:r>
    </w:p>
    <w:p>
      <w:r>
        <w:t>FR: ZH_OBERGERICHT LB200036 du 2 juin 2022</w:t>
      </w:r>
    </w:p>
    <w:p>
      <w:r>
        <w:t>IT: ZH_OBERGERICHT LB200036 del 2 giugno 2022</w:t>
      </w:r>
    </w:p>
    <w:p>
      <w:pPr>
        <w:pStyle w:val="Heading2"/>
      </w:pPr>
      <w:r>
        <w:t>Erwägungen</w:t>
      </w:r>
    </w:p>
    <w:p>
      <w:r>
        <w:rPr>
          <w:b/>
        </w:rPr>
        <w:t>E. 1</w:t>
      </w:r>
    </w:p>
    <w:p>
      <w:r>
        <w:t>Die Beklagten sind durch den Endentscheid der Vorinstanz beschwert. Es handelt sich um eine berufungsfähige Streitigkeit (Art. 308 Abs. 2 ZPO). Die Beru- fung wurde form- und fristgerecht erhoben (Art. 311 Abs. 1 ZPO; Urk. 90/2 und 91), weshalb auf diese unter dem Vorbehalt rechtsgenügender Begründung ein- zutreten ist.</w:t>
      </w:r>
    </w:p>
    <w:p>
      <w:r>
        <w:rPr>
          <w:b/>
        </w:rPr>
        <w:t>E. 2</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 Reetz/Theiler, Art. 311 N 36). Die Berufungskläger haben mittels klarer und sau- berer Verweisungen auf die Ausführungen vor der Vorinstanz zu zeigen, wo sie die massgebenden Behauptungen, Erklärungen, Bestreitungen und Einreden er- hoben haben. Die Parteien haben die von ihnen kritisierten Erwägungen des an- gefochtenen Entscheids wie auch die Aktenstücke, auf die sie ihre Kritik stützen, genau zu bezeichnen (BGE 138 III 374 E. 4.3.1; BGer 4A_580/2015 vom 11.04.2016, E. 2.2 [nicht publiziert in BGE 142 III 271]; BGer 5A_127/2018 vom 28.02.2019, E. 3, m.w.H.). Was nicht in einer den gesetzlichen Begründungsan- forderungen genügenden Weise beanstandet wird, braucht von der Rechtsmittel- instanz nicht überprüft zu werden. Es ist nämlich nicht Sache der Rechtsmittel- 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w:t>
      </w:r>
    </w:p>
    <w:p>
      <w:r>
        <w:t>- 22 - instanz mit den Ausführungen der Berufungskläger auseinandergesetzt hat. Stützt sich der angefochtene Entscheid auf mehrere selbständige Begründungen, müs- sen sich die Berufungskläger in der Berufungsschrift mit allen Begründungen auseinandersetzen. Das Gleiche gilt im Falle von Haupt- und Eventualbegrün- dung. Auch hier müssen sich die Berufungskläger mit beiden Begründungen aus- einandersetzen (Hungerbühler/Bucher, DIKE-Komm-ZPO, Art. 311 N 42 f.). Nach bundesgerichtlicher Rechtsprechung ist das Berufungsgericht nicht gehalten, von sich aus wie eine erstinstanzliche Gerichtsbehörde alle sich stellenden tatsächli- 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 fungsprogramm der Berufungsinstanz vor; der angefochtene Entscheid ist grund- sätzlich nur auf die gerügten Punkte hin zu überprüfen. In rechtlicher Hinsicht ist das Berufungsgericht, in Anwendung des Grundsatzes iura novit curia, bei dieser Prüfung jedoch weder an die Erwägungen der ersten Instanz noch an die Argu- mente der Parteien gebunden. In tatsächlicher Hinsicht ist es nicht an die Fest- stellungen des erstinstanzlichen Gerichts gebunden, auch wenn mangels ent- sprechender Sachverhaltsrügen der Parteien im Berufungsverfahren der erstin- stanzliche Entscheid nach dem Gesagten in der Regel als Grundlage des Rechtsmittelverfahrens dient (BGE 144 III 394 E. 4.1.4 m.w.H.). Die Begründungsanforderungen gelten auch für die Berufungsantwort, wenn darin Erwägungen der Vorinstanz beanstandet werden, die sich für die im kanto- nalen Verfahren obsiegende Partei ungünstig auswirken können (BGer 4A_258/ 2015 vom 21.10.2015, E. 2.4.2; BGer 4A_580/2015 vom 11.04.2016, E. 2.2; BGer 4A_496/2016 vom 08.12.2016, E. 2.2.2; Reetz/Theiler, a.a.O., Art. 312 N 11). Die Beanstandungen am angefochtenen Entscheid haben die Parteien in- nert der Berufungs- bzw. Berufungsantwortfrist vollständig vorzutragen. Ein allfäl- liger zweiter Schriftenwechsel oder die Ausübung des sog. Replikrechts dienen nicht dazu, die bisherige Kritik zu vervollständigen oder zu ergänzen (BGE 142 III</w:t>
      </w:r>
    </w:p>
    <w:p>
      <w:r>
        <w:t>- 23 - 413 E. 2.2.4). In diesem Sinne sind die unverlangten Replikschriften der Parteien – soweit sie nicht ausdrücklich zur Stellungnahme eingeladen wurden – entge- genzunehmen.</w:t>
      </w:r>
    </w:p>
    <w:p>
      <w:r>
        <w:rPr>
          <w:b/>
        </w:rPr>
        <w:t>E. 3</w:t>
      </w:r>
    </w:p>
    <w:p>
      <w:r>
        <w:t>Neue Tatsachen und Beweismittel (Noven) können im Berufungsverfah- ren nur unter den Voraussetzungen von Art. 317 Abs. 1 ZPO berücksichtigt wer- den, d.h. wenn sie ohne Verzug vorgebracht werden (lit. a) und trotz zumutbarer Sorgfalt nicht schon vor erster Instanz vorgebracht werden konnten (lit. b). Diese Voraussetzungen gelten kumulativ. Handelt es sich um echte Noven, ist das Er- fordernis der Neuheit ohne Weiteres erfüllt und einzig das des unverzüglichen Vorbringens ist zu prüfen. Was unechte Noven angeht, so ist es Sache der Partei, die sie vor der Berufungsinstanz geltend machen will, zu beweisen, dass sie die erforderliche Sorgfalt an den Tag gelegt hat, was namentlich bedingt, die Gründe darzutun, warum die Tatsachen und Beweismittel nicht schon vor erster Instanz vorgebracht werden konnten (BGE 144 III 349 E. 4.2.1; ZK ZPO-Reetz/Hilber, Art. 317 N 34).</w:t>
      </w:r>
    </w:p>
    <w:p>
      <w:r>
        <w:rPr>
          <w:b/>
        </w:rPr>
        <w:t>E. 4</w:t>
      </w:r>
    </w:p>
    <w:p>
      <w:r>
        <w:t>Schriftliche Mitteilung und Rechtsmittelbelehrung mit nachfolgendem Urteil. Es wird erkannt: 1. Die Dispositiv-Ziffern 1, 7, 10-12 und 14 des Urteils des Bezirksgerichts Mei- len, Abteilung, vom 26. Februar 2020 lauten neu wie folgt: 1. Es wird festgestellt, dass sich der noch zu teilende Nachlass von F._____ (sen.), geboren am tt. September 1891, gestorben am tt.mm.1980, wie folgt zusammensetzt: Aktiven a) Liegenschaft, Grundbuch Blatt 1, Kat. Nr. 2, G._____-strasse …, … C._____; b) ZKB Sparkonto Nr. 3 bei der Zürcher Kantonalbank, Filiale C._____, J._____-gasse …, … C._____ (ehemaliges Depositen- heft Nr. 4) lautend auf "F._____ -… Erben"; Passiven</w:t>
      </w:r>
    </w:p>
    <w:p>
      <w:r>
        <w:t>- 40 - c) ZKB Hypothekardarlehen Nr. 5 gegenüber der Zürcher Kantonal- bank, Filiale C._____, J._____-gasse …, … C._____, von Fr. 28'000.–, lautend auf "F._____ -… Erben", sichergestellt durch Papier-Namensschuldbrief vom 20. Juli 1928 über Fr 30'000.– lastend auf obgenannter Liegenschaft; d) Schuld von Fr 1'700.– gegenüber der Beklagten 1 (Rückforderung infolge Einzahlung); e) Schuld von Fr 6'777.70 gegenüber den Beklagten (Rückforderung betreffend Unterhaltskosten).</w:t>
      </w:r>
    </w:p>
    <w:p>
      <w:r>
        <w:rPr>
          <w:b/>
        </w:rPr>
        <w:t>E. 7</w:t>
      </w:r>
    </w:p>
    <w:p>
      <w:r>
        <w:t>Das Gemeindeammannamt wird angewiesen, nach Eingang des voll- ständigen Zuschlagspreises und nach Abrechnung über die Steigerung den verbleibenden Nettoerlös gemäss folgender Auflistung aufzuteilen: a) Klägerin 1 (D._____): 1/4 abzgl. Fr. 21'447.30; worin - ihr Anteil an der Schuld des Nachlasses gegenüber der Be- klagten 1 gemäss Dispositiv-Ziffer 1 lit. d, - ihre Entschädigung an die Klägerin 2 für den von ihr geleis- teten Kostenvorschuss gemäss Dispositiv-Ziffer 4 Abs. 2 sowie - ihre Schuld gegenüber dem Kanton Zürich (Entschädigung ihres unentgeltlichen Rechtsbeistandes sowie die sie tref- fenden Gerichtskosten dieses Verfahrens, vgl. Dispositiv- Ziffern 9, 11, 12) - ihr Schuldanteil gegenüber den Beklagten gemäss Disposi- tiv-Ziffer 1 lit. e berücksichtigt sind; b) Klägerin 2 (E._____): 1/4 zzgl. Fr 1'630.60; worin - ihr Anteil an der Schuld des Nachlasses gegenüber der Be- klagten 1 gemäss Dispositiv-Ziffer 1 lit. d sowie</w:t>
      </w:r>
    </w:p>
    <w:p>
      <w:r>
        <w:t>- 41 - - die ihr zustehenden Entschädigungen von Klägerin 1 sowie den Beklagten 1 und 2 für den von ihr geleisteten Kosten- vorschuss gemäss Dispositiv-Ziffer 4 Abs. 2 - ihr Schuldanteil gegenüber den Beklagten gemäss Disposi- tiv-Ziffer 1 lit. e berücksichtigt sind; c) Beklagte 1 (A._____): 1/4 zzgl. Fr. 1'719.40; worin - die Tilgung ihrer Forderung gegen den Nachlass gemäss Dispositiv-Ziffer 1 lit. d sowie - ihre Entschädigung an die Klägerin 2 für den von ihr geleis- teten Kostenvorschuss gemäss Dispositiv-Ziffer 4 Abs. 2 - ihr Anteil am Guthaben gegenüber dem Nachlass gemäss Dispositiv-Ziffer 1 lit. e berücksichtigt sind; d) Beklagter 2 (B._____): 1/4 zzgl. Fr. 19.40; worin - sein Anteil an der Schuld des Nachlasses gegenüber der Beklagten 1 gemäss Dispositiv-Ziffer 1 lit. d sowie - seine Entschädigung an die Klägerin 2 für den von ihr ge- leisteten Kostenvorschuss gemäss Dispositiv-Ziffer 4 Abs. 2 - sein Anteil am Guthaben gegenüber dem Nachlass gemäss Dispositiv-Ziffer 1 lit. e berücksichtigt sind; e) Kanton Zürich, vertreten durch die Gerichtskasse des Bezirksge- richts Meilen: Fr 18'077.90; worin - die Tilgung seiner Forderung gegen die Klägerin 1 (Ent- schädigung ihres unentgeltlichen Rechtsbeistandes sowie die sie treffenden Gerichtskosten dieses Verfahrens, vgl. Dispositiv-Ziffern 9, 11, 12)</w:t>
      </w:r>
    </w:p>
    <w:p>
      <w:r>
        <w:t>- 42 - berücksichtigt ist. Das Gemeindeammannamt zeigt dies den Erben durch Vorlage der Schlussrechnung an und fordert sie auf, ihre Kontoverbindungen zu nennen. Die Auszahlung hat innert 10 Tagen nach Vorliegen aller Kon- toangaben zu erfolgen.</w:t>
      </w:r>
    </w:p>
    <w:p>
      <w:r>
        <w:rPr>
          <w:b/>
        </w:rPr>
        <w:t>E. 10</w:t>
      </w:r>
    </w:p>
    <w:p>
      <w:r>
        <w:t>Die Entscheidgebühr wird festgesetzt auf: Fr. 28'500.‒ ; die weiteren Kosten betragen: Fr. 1'200.– Gebühren für das Schlichtungsverfahren Auslagen Gutachten Verkehrswertschätzung inkl. Fr. 2'681.75 Anwesenheit an der Instruktionsverhandlung vom 8. Oktober 2019 Fr. 32'381.75 Kosten total</w:t>
      </w:r>
    </w:p>
    <w:p>
      <w:r>
        <w:rPr>
          <w:b/>
        </w:rPr>
        <w:t>E. 11</w:t>
      </w:r>
    </w:p>
    <w:p>
      <w:r>
        <w:t>Die Gerichtskosten werden den Parteien zu je einem Viertel (Fr. 8'095.45) auferlegt.</w:t>
      </w:r>
    </w:p>
    <w:p>
      <w:r>
        <w:rPr>
          <w:b/>
        </w:rPr>
        <w:t>E. 12</w:t>
      </w:r>
    </w:p>
    <w:p>
      <w:r>
        <w:t>Von der Abtretungserklärung der Klägerin 1 (D._____) wird Vormerk genommen. Entsprechend werden die die Klägerin 1 (D._____) betref- fenden Gerichtskosten sowie die Kosten für ihre unentgeltliche Rechts- verbeiständung (Fr. 8'095.45 und Fr. 10'582.45 abzgl. der Gebühr für das Schlichtungsverfahren gemäss Dispositiv-Ziffer 13 Abs. 2, total Fr. 18'077.90) durch das Gemeindeammannamt aus dem Nettoerlös der Versteigerung direkt dem Kanton Zürich, vertreten durch die Gerichts- kasse des Bezirksgerichts Meilen, geleistet, gemäss vorstehender Dis- positivziffer 7.</w:t>
      </w:r>
    </w:p>
    <w:p>
      <w:r>
        <w:rPr>
          <w:b/>
        </w:rPr>
        <w:t>E. 14</w:t>
      </w:r>
    </w:p>
    <w:p>
      <w:r>
        <w:t>Somit haben die Beklagten 1 und 2 der Klägerin 2 je Fr. 4'314.80 zu ersetzen. Weiter haben die Beklagten 1 und 2 der Gerichtskasse je Fr. 3'030.65 nachzuzahlen.</w:t>
      </w:r>
    </w:p>
    <w:p>
      <w:r>
        <w:t>- 43 - 2. Im Übrigen wird die Berufung abgewiesen und das Urteil des Bezirksgerichts Meilen, Abteilung, vom 26. Februar 2020 bestätigt, soweit es nicht in Rechtskraft erwachsen ist. 3. Die zweitinstanzliche Entscheidgebühr wird auf Fr. 9'000.– festgesetzt. 4. Die Gerichtskosten für das zweitinstanzliche Verfahren werden den Beklag- ten auferlegt und mit ihrem Kostenvorschuss verrechnet. 5. Die Beklagten werden unter solidarischer Haftung verpflichtet, für das zweit- instanzliche Verfahren folgende Parteientschädigungen zu bezahlen: a) Rechtsanwalt lic. iur. Y2._____ als Rechtsvertreter von D._____ Fr. 3'000.– b) der Gemeinde C._____ als Abtretungsgläubigerin Fr. 1'000.– c) der Klägerin 2 Fr. 3'500.–. 6. Schriftliche Mitteilung an die Parteien, an Rechtsanwalt lic. iur. Y2._____ mit den Erwägungen Ziff. V und im Dispositivauszug Ziff. 3 und 4 des Beschlus- ses sowie Ziff. 5 lit. a, Ziff. 6 und Ziff. 7 des Urteils, an die Gerichtskasse des Bezirksgerichts Meilen im Dispositivauszug Ziff. 7, 9 und 12, an das Ge- meindeammannamt Pfannenstiel im Dispositivauszug Ziff. 1, 2, 4-7 und 10- 12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- 44 - Es handelt sich um eine vermögensrechtliche Angelegenheit. Der Streitwert übersteigt Fr. 30'000.–. Die Beschwerde an das Bundesgericht hat keine aufschiebende Wirkung. Hinsichtlich des Fristenlaufs gelten die Art. 44 ff. BGG. Zürich, 2. Juni 2022 Obergericht des Kantons Zürich I. Zivilkammer Die Vorsitzende: Der Gerichtsschreiber: Dr. D. Scherrer MLaw R. Meli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