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LB200019 vom 10. November 2020</w:t>
      </w:r>
    </w:p>
    <w:p>
      <w:r>
        <w:t>ZH Obergericht, 2020-11-10, DE</w:t>
      </w:r>
    </w:p>
    <w:p>
      <w:r>
        <w:rPr>
          <w:b/>
        </w:rPr>
        <w:t xml:space="preserve">Quelle: </w:t>
      </w:r>
      <w:r>
        <w:t>https://mcp.opencaselaw.ch/entscheid/zh_obergericht_LB200019</w:t>
      </w:r>
    </w:p>
    <w:p>
      <w:r>
        <w:t>FR: ZH_OBERGERICHT LB200019 du 10 novembre 2020</w:t>
      </w:r>
    </w:p>
    <w:p>
      <w:r>
        <w:t>IT: ZH_OBERGERICHT LB200019 del 10 novembre 2020</w:t>
      </w:r>
    </w:p>
    <w:p>
      <w:pPr>
        <w:pStyle w:val="Heading2"/>
      </w:pPr>
      <w:r>
        <w:t>Erwägungen</w:t>
      </w:r>
    </w:p>
    <w:p>
      <w:r>
        <w:rPr>
          <w:b/>
        </w:rPr>
        <w:t>E. 1</w:t>
      </w:r>
    </w:p>
    <w:p>
      <w:r>
        <w:t>Die Beklagte und Berufungsklägerin (fortan: Berufungsklägerin) ist Alleinei- gentümerin des Mehrfamilienhauses D._____-strasse … in Winterthur. Sie ent- schied sich im Jahre 2010, diese Liegenschaft umzubauen und zu sanieren. Im Oktober 2010 hat sie unstreitig mit der Klägerin und Berufungsbeklagten (fortan: Berufungsbeklagte) einen mündlichen Werkvertrag über die Erbringung von Bau- meisterarbeiten betreffend die Liegenschaft D._____-strasse … abgeschlossen. Die Berufungsklägerin (Bauherrin) liess sich bei den Arbeiten nach der unange- fochten gebliebenen Feststellung der Vorinstanz umfassend durch die Nebenin- tervenientin (Bauleiterin) vertreten. Über die Höhe des geschuldeten Werklohnes gingen die Meinungen auseinander. Die Vorinstanz hiess eine Klage der Beru- fungsbeklagten auf Zusprechung von Fr. 51'166.55 ausstehendem Werklohn voll- umfänglich gut. Dagegen richtet sich die vorliegende Berufung.</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 weise auf die Vorakten genügen nicht (vgl. ZK ZPO-REETZ/THEILER, 3. Aufl. 2016, Art. 311 N 36 f.). Wiederholungen des bereits vor der ersten Instanz Vorgetrage- nen genügen den gesetzlichen Anforderungen an eine Begründung ebenso wenig wie allgemeine Kritik am angefochtenen Entscheid bzw. an den erstinstanzlichen Erwägungen (vgl. auch BGE 138 III 374 ff., E. 4 = Pra 102 [2013] Nr. 4). Aus die- sem Grund bleiben vorliegend die Ausführungen der Berufungsklägerin zu den (ihrer Meinung nach nicht erfüllten) Anforderungen an die Substantiierung der gegnerischen Vorbringen im vorinstanzlichen Verfahren (act. 273 S. 8 ff.) unbe- achtlich, handelt es sich doch dabei grösstenteils um blosse Wiederholungen des in Klageschrift resp. Klageantwort Ausgeführten, ohne dass auf das angefochtene Urteil Bezug genommen würde. Die volle Kognition der Berufungsinstanz in Rechtsfragen bedeutet nicht, dass sie gehalten wäre, von sich aus wie ein erstinstanzliches Gericht alle sich stellenden rechtlichen Fragen zu untersuchen, wenn der Berufungskläger diese vor der Berufungsinstanz nicht (mehr) vorträgt; vielmehr hat sie sich – abgesehen von offensichtlichen Mängeln – auf die Beurteilung der in der schriftlichen Beru- fungsbegründung erhobenen Beanstandungen zu beschränken (vgl. BGE 142 III 413 ff., E. 2.2.4; BGer 4A_629/2017 vom 17. Juli 2018, E. 4.1.4; 4A_418/2017 vom 8. Januar 2018, E. 2.3). Insofern gibt die Berufungsschrift durch die ausrei-</w:t>
      </w:r>
    </w:p>
    <w:p>
      <w:r>
        <w:t>- 6 - chend begründet vorgetragenen Beanstandungen das Prüfprogramm vor, mit welchem sich die Berufungsinstanz zu befassen hat. Innerhalb dieser Beanstan- dungen ist sie indes weder an die Begründung des Berufungsklägers noch an je- ne der Vorinstanz gebunden, sondern sie wendet das Recht von Amtes wegen an (Art. 57 ZPO). Deshalb kann die Berufung auch mit einer anderen Argumentation gutgeheissen oder mit einer von der Argumentation der Vorinstanz abweichenden Begründung abgewiesen werden (vgl. BGer 4A_629/2017 vom 17. Juli 2018, E. 4.1.4; 4A_397/2016 vom 30. November 2016, E. 3.1). Entsprechend muss ein Berufungskläger zwar darlegen, dass und inwiefern die Vorinstanz das Recht aus seiner Sicht unrichtig angewendet hat, zutreffen muss diese Begründung – um ei- ne freie Überprüfung durch die Berufungsinstanz zu erwirken – aber nicht (vgl. zur ebenfalls vollen Kognition der Beschwerdeinstanz in Rechtsfragen OGer ZH PS180131 vom 3. September 2018, E. III./3). Mit anderen Worten muss die Rechtsschrift eine minimale rechtliche Begründung enthalten, wenn eine unrichti- ge Rechtsanwendung geltend gemacht wird (vgl. etwa OGer ZH LB140047 vom</w:t>
      </w:r>
    </w:p>
    <w:p>
      <w:r>
        <w:rPr>
          <w:b/>
        </w:rPr>
        <w:t>E. 2.1</w:t>
      </w:r>
    </w:p>
    <w:p>
      <w:r>
        <w:t>Die Berufungsklägerin thematisiert in ihrer Berufungsschrift unter dem Titel "Rechtliches" als Erstes die Anzeige des Überschreitens des Kostenansatzes. Sie bringt in diesem Zusammenhang vor, hinsichtlich der Fassade sei keine Auftrags- änderung oder -erweiterung durch sie (die Berufungsklägerin) erfolgt. Der Werk- auftrag an die Berufungsbeklagte habe unstrittig die Verputzsanierung der gesam- ten Fassade umfasst. Auch wenn die Vorinstanz die rechtliche Würdigung dieses Punktes offengelassen habe (act. 276 S. 47 oben), so habe offensichtlich hin- sichtlich der Fassade keine Auftragsänderung stattgefunden. Vielmehr sei ausge- führt worden, was zum Richtpreis vereinbart worden war. Gegenteiliges habe die Berufungsbeklagte nicht belegt bzw. substantiiert ausgeführt (act. 273 S. 4 f.).</w:t>
      </w:r>
    </w:p>
    <w:p>
      <w:r>
        <w:rPr>
          <w:b/>
        </w:rPr>
        <w:t>E. 2.2</w:t>
      </w:r>
    </w:p>
    <w:p>
      <w:r>
        <w:t>Mit diesen Ausführungen zeigt die Berufungsklägerin nicht ansatzweise auf, was am angefochtenen Urteil falsch sein soll. An der angeführten Stelle (act. 276 S. 46 f. E. 5.4.3.) führte die Vorinstanz aus, die Berufungsklägerin sei von der Bauleiterin, welche sie vertreten habe, der Berufungsbeklagten gegenüber ver- pflichtet worden. Dies gelte auch im Zusammenhang mit dem Mehraufwand, wel- cher angesichts des unvorhersehbaren Zustands der Fassade erforderlich gewe- sen sei. Unabhängig davon, ob man diesen Mehraufwand als Bestellungsände- rung im Sinne von Art. 85 SIA-Norm 118, als Zusatzauftrag oder als Anpassung</w:t>
      </w:r>
    </w:p>
    <w:p>
      <w:r>
        <w:t>- 8 - des ursprünglichen Werkvertrags qualifizieren wollte, so sei es die Nebeninterve- nientin gewesen, welche für die Berufungsklägerin entschieden habe, die erfor- derlichen Sanierungsmassnahmen der Fassade umzusetzen. Entsprechend habe die Berufungsbeklagte die Mehraufwendungen im Zusammenhang mit der Sanie- rung der Fassade nicht von sich aus getätigt, sondern auftrags der Berufungsklä- gerin, welche sich die Handlungen der Nebenintervenientin anrechnen lassen müsse. Mit diesen Ausführungen der Vorinstanz setzt sich die Berufungsklägerin nicht auseinander. Sie bringt insbesondere nicht vor, entgegen der Vorinstanz habe sich die Fassade gar nicht in einem unvorhersehbaren Zustand befunden, und sie macht auch nicht geltend, es sei dadurch kein Mehraufwand entstanden oder sie hätte sich die entsprechenden Handlungen der Bauleiterin nicht anrech- nen zu lassen. Es hat damit sein Bewenden.</w:t>
      </w:r>
    </w:p>
    <w:p>
      <w:r>
        <w:rPr>
          <w:b/>
        </w:rPr>
        <w:t>E. 2.3</w:t>
      </w:r>
    </w:p>
    <w:p>
      <w:r>
        <w:t>Weiter bringt die Berufungsklägerin vor, die Vorinstanz übersehe, dass ge- mäss Art. 56 Abs. 2 SIA-Norm 118 der Unternehmer bei Vorliegen eines Richt- preises unabhängig vom Ausmass der Kostenüberschreitung zur Anzeige an den Besteller verpflichtet sei, und dies habe die Berufungsbeklagte nicht wahrgenom- men. Wegen der Verletzung der Anzeigepflicht sei der übermässige Werkpreis gemäss Art. 375 Abs. 2 OR herabzusetzen (act. 273 S. 5). Auch diese Rüge geht fehl: Mit einem Richtpreis im Sinne von Art. 56 SIA- Norm 118 ist ein ungefährer Ansatz im Sinne von Art. 375 OR gemeint (Art. 56 Abs. 1 SIA-Norm 118; vgl. GAUCH, Werkvertrag, 6. A. 2019, Rz 971). Die Rechts- behelfe von Art. 375 OR setzen gemäss Abs. 1 dieser Bestimmung voraus, dass ein ungefährer Ansatz ohne Zutun des Bestellers unverhältnismässig überschrit- ten wird. Eine Überschreitung des ungefähren Kostenansatzes liegt dann (und nur dann) vor, wenn der Preis für diejenigen Leistungen, auf die sich der Kostenan- satz bezieht, höher ist als der Kostenansatz (BSK OR I-ZINDEL/SCHOTT, 7. A. 2020, Art. 375 N 8 m.w.H. [Hervorhebung im Original]), was vorliegend nicht der Fall ist, hat sich doch nach der unangefochten gebliebenen Feststellung der Vor- instanz infolge des unvorhersehbaren Zustands der Fassade im Nachhinein Mehraufwand ergeben. Dieser Mehraufwand wurde zudem (ebenso unangefoch-</w:t>
      </w:r>
    </w:p>
    <w:p>
      <w:r>
        <w:t>- 9 - ten) durch die Bestellerin, vertreten durch die Bauleitung, in Auftrag gegeben. Entgegen der Berufungsklägerin kommt daher Art. 375 OR vorliegend nicht zum Tragen. Davon, dass die Vorinstanz es rechtswidrig unterlassen hätte, Art. 375 Abs. 2 OR überhaupt anzuwenden (so act. 273 S. 6), kann demnach keine Rede sein. 3. Sodann macht die Berufungsklägerin geltend, sie sei aufgrund der Unge- wöhnlichkeitsregel nicht auf Art. 154 Abs. 3 SIA -Norm 118 zu behaften, wonach die Genehmigung der Schlussrechnung durch die Bauleitung eine gegen sie wir- kende Schuldanerkennung darstelle. Diese Bestimmung sei ihr nicht bekannt ge- wesen und auf sie nicht anwendbar, da sie nicht als branchenerfahren gelten könne (act. 273 S. 6-8). Die Vorinstanz hat im angefochtenen Urteil darauf hingewiesen, dass die von der Berufungsklägerin angesprochene Ungewöhnlichkeitsregel gemäss der bundesgerichtlichen Rechtsprechung zu Art. 154 SIA-Norm 118 (BGE 109 II 452 ff.) nur zum Tragen komme, wo es sich um einen branchenfremden und ein- maligen Bauherren handle, was auf die Berufungsklägerin nicht zutreffe, die nicht einmalig als Bauherrin aufgetreten sei, sondern für verschiedene Liegenschaften Aufträge erteilt habe (act. 276 S. 60). Die Berufungsklägerin übt in der Berufungs- schrift allgemeine Kritik an der diesbezüglichen bundesgerichtlichen Rechtspre- chung (act. 273 S. 7 f.), was nicht zielführend ist, um die vorinstanzlichen Erwä- gungen als Rechtsverletzung darzustellen. Sie bringt sodann zwar vor, sie könne "auch unter Berücksichtigung der bundesgerichtlichen Rechtsprechung" nicht als branchenerfahren gelten, um dann jedoch sogleich selbst auszuführen, dass ihr im Raume Winterthur zwei Liegenschaften gehörten, welche sie nacheinander habe sanieren lassen. Sie macht demnach selbst nicht geltend, dass die Sanie- rung der streitgegenständlichen Liegenschaft ihr erstes Bauprojekt gewesen wä- re, noch bringt sie vor, dass sie bei Abschluss des Werkvertrags über keine Erfah- rungen in Bausachen verfügt habe (BGE 109 II 452 ff., 459 E. 5.c). Das vor- instanzliche Urteil ist demnach auch in diesem Punkt nicht zu beanstanden. 4. Die Berufung ist demnach vollumfänglich abzuweisen und das vorinstanzli- che Urteil zu bestätigen.</w:t>
      </w:r>
    </w:p>
    <w:p>
      <w:r>
        <w:t>- 10 - IV. Kosten- und Entschädigungsfolgen 1. Die Prozesskosten sind dem Ausgang des Berufungsverfahrens entspre- chend zu verlegen. Die Berufungsklägerin unterliegt mit der Berufung vollumfäng- lich. Das führt zur entsprechenden Kostenauflage (Art. 106 Abs. 1 ZPO). 2. Die bezirksgerichtliche Festsetzung von Gerichts- und Parteikosten im ange- fochtenen Urteil wurde im Berufungsverfahren nicht in Frage gestellt. Es ist des- halb das erstinstanzliche Kostendispositiv (Dispositivziffern 2-4) zu bestätigen. 3. Die Entscheidgebühr für das Berufungsverfahren ist – ausgehend vom Streitwert – gestützt auf § 12 Abs. 1-2 GebV OG in Verbindung mit § 4 Abs. 1 GebV OG auf Fr. 5'600.– festzusetzen. Parteientschädigungen sind für das Beru- fungsverfahren keine zuzusprechen: Der Berufungsklägerin nicht, weil sie unter- liegt, der Berufungsbeklagten sowie der Nebenintervenientin nicht, weil ihnen im Rechtsmittelverfahren keine zu entschädigenden Aufwendungen entstanden sind. Es wird erkannt: 1. Die Berufung wird abgewiesen. Das Urteil des Bezirksgerichtes Winterthur vom 6. März 2020 wird vollumfänglich bestätigt. 2. Die zweitinstanzliche Entscheidgebühr wird auf Fr. 5'600.– festgesetzt. 3. Die Gerichtskosten des zweitinstanzlichen Verfahrens werden der Beru- fungsklägerin auferlegt und mit dem von ihr geleisteten Kostenvorschuss verrechnet. 4. Es werden keine Parteientschädigungen zugesprochen.</w:t>
      </w:r>
    </w:p>
    <w:p>
      <w:r>
        <w:t>- 11 -</w:t>
      </w:r>
    </w:p>
    <w:p>
      <w:r>
        <w:rPr>
          <w:b/>
        </w:rPr>
        <w:t>E. 5</w:t>
      </w:r>
    </w:p>
    <w:p>
      <w:r>
        <w:t>Schriftliche Mitteilung an die Parteien, an die Berufungsbeklagte sowie die Nebenintervenientin je unter Beilage eines Doppels von act. 273, und an das Bezirksgericht Winterthur, je gegen Empfangsschein, sowie an die Oberge- 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51'166.55. Die Beschwerde an das Bundesgericht hat keine aufschiebende Wirkung. Obergericht des Kantons Zürich II. Zivilkammer Die Vorsitzende: Der Gerichtsschreiber: lic. iur. E. Lichti Aschwanden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