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LB200009 vom 20. Mai 2020</w:t>
      </w:r>
    </w:p>
    <w:p>
      <w:r>
        <w:t>ZH Obergericht, 2020-05-20, DE</w:t>
      </w:r>
    </w:p>
    <w:p>
      <w:r>
        <w:rPr>
          <w:b/>
        </w:rPr>
        <w:t xml:space="preserve">Quelle: </w:t>
      </w:r>
      <w:r>
        <w:t>https://mcp.opencaselaw.ch/entscheid/zh_obergericht_LB200009</w:t>
      </w:r>
    </w:p>
    <w:p>
      <w:r>
        <w:t>FR: ZH_OBERGERICHT LB200009 du 20 mai 2020</w:t>
      </w:r>
    </w:p>
    <w:p>
      <w:r>
        <w:t>IT: ZH_OBERGERICHT LB200009 del 20 maggio 2020</w:t>
      </w:r>
    </w:p>
    <w:p>
      <w:pPr>
        <w:pStyle w:val="Heading2"/>
      </w:pPr>
      <w:r>
        <w:t>Erwägungen</w:t>
      </w:r>
    </w:p>
    <w:p>
      <w:r>
        <w:rPr>
          <w:b/>
        </w:rPr>
        <w:t>E. 1</w:t>
      </w:r>
    </w:p>
    <w:p>
      <w:r>
        <w:t>Die Kläger und Berufungskläger (nachfolgend: Kläger) sind Stockwerkeigen- tümer des Grundstückes Kat. Nr. 1 in der Stadt Zürich. Das Grundstück ist Teil ei- ner Blockrandbebauung zwischen D._____-Strasse und F._____-Strasse im Kreis … von Zürich. Die Blockrandbebauung umfasst den mit einem Arkadenbe- reich versehenen quadratischen E._____. Der E._____ ist ein Innenhof, der vier Zugänge (Passagen) hat. Einer davon verläuft über die Bauparzelle 1 und verbin- det die D._____-Strasse mit dem Innenhof. Die Beklagte und Berufungsbeklagte (nachfolgend: Beklagte) betreibt auf dem Grundstück 1 im Gebäude zu beiden Seite der Passage zwischen E._____ und D._____-Strasse sowie auf öffentli- chem Grund im E._____ und unter den Arkaden das Restaurant "G._____". Die Kläger sind aus einem Fuss- und Fahrwegrecht berechtigt, die auf der Parzel- le 1 gelegene Passage zwischen dem E._____ und der D._____-Strasse mit Fahrzeugen aller Art zu benutzen. Die Beklagte plant die Erweiterung des Aus- senbereichs des Restaurants in der Passage mit weiteren 26 Sitzplätzen. Die Kläger machen geltend, dass mit der Realisierung von Sitzplätzen in der Passage</w:t>
      </w:r>
    </w:p>
    <w:p>
      <w:r>
        <w:t>- 4 - und unmittelbar davor auf dem Trottoir der D._____-Strasse die Ausübung des Wegrechts verunmöglicht werde.</w:t>
      </w:r>
    </w:p>
    <w:p>
      <w:r>
        <w:rPr>
          <w:b/>
        </w:rPr>
        <w:t>E. 2</w:t>
      </w:r>
    </w:p>
    <w:p>
      <w:r>
        <w:t>Am 29. Mai 2018 machten die Kläger die Klage mit obgenanntem Rechtsbe- gehren bei der Vorinstanz anhängig (act. 1). Das Gesuch der Kläger um Erlass vorsorglicher Massnahmen wies das Bezirksgericht Zürich, 10. Abteilung, mit Be- schluss vom 4. September 2018 ab (act. 20). Die dagegen erhobene Beschwerde wies die II. Zivilkammer mit Beschluss vom 1. März 2019 ebenfalls ab (act. 25). Nach Erstattung der Klageantwort (act. 22), einer Instruktionsverhandlung und der Sistierung des Verfahrens (act. 28, act. 32) infolge aussergerichtlicher Vergleichs- gespräche trat das Bezirksgericht auf die Klage der grundsätzlich aus einer Weg- rechtsdienstbarkeit berechtigten Kläger, es sei der Beklagten zu untersagen, auf der Fahrbahn der streitgegenständlichen Passage zwischen D._____-Strasse und E._____ sowie im Bereich unmittelbar vor derselben Tische, Stühle etc. auf- zustellen, mit Beschluss vom 12. Dezember 2019 nicht ein (act. 38 S. 11 = act. 45 = act. 44/1 [nachfolgend nur noch act. 45]). Das Bezirksgericht begründete den Entscheid zusammengefasst damit, dass die Gebäudepassage ohnehin nicht be- fahren werden könne, weil es aufgrund der aktuellen strassenverkehrstechni- schen Signale, Markierungen und Bauten (act. 45 S. 10 oben) unmöglich sei, vom E._____ durch die fragliche Gebäudepassage auf die D._____-Strasse zu gelan- gen (act. 45 E. 3.1. - E. 3.5.). Selbst bei einer Gutheissung der Klage könne der mit der Klage verfolgte Zweck – die ungehinderte Durchfahrt zwischen H._____- Platz und D._____-Strasse – nicht erreicht werden (act. 45 S. 10 E. 4.3.).</w:t>
      </w:r>
    </w:p>
    <w:p>
      <w:r>
        <w:rPr>
          <w:b/>
        </w:rPr>
        <w:t>E. 3</w:t>
      </w:r>
    </w:p>
    <w:p>
      <w:r>
        <w:t>Die Verlegung der Kosten auf die Parteien und das Zusprechen einer allfälli- gen Parteientschädigung wird dem Endentscheid des Bezirksgerichts vorbe- halten, unter Hinweis darauf, dass die Kläger und Berufungskläger für das Berufungsverfahren bei der Obergerichtskasse einen Prozesskostenvor- schuss von Fr. 1'500.– geleistet haben.</w:t>
      </w:r>
    </w:p>
    <w:p>
      <w:r>
        <w:rPr>
          <w:b/>
        </w:rPr>
        <w:t>E. 4</w:t>
      </w:r>
    </w:p>
    <w:p>
      <w:r>
        <w:t>Schriftliche Mitteilung an die Parteien, die Obergerichtskasse und – unter Beilage der Akten – an das Bezirksgericht Zürich, 10. Abteilung, je gegen Empfangsschein.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beläuft sich auf über Fr. 30'000.--. Die Beschwerde an das Bundesgericht hat keine aufschiebende Wirkung. Obergericht des Kantons Zürich II. Zivilkammer Die Gerichtsschreiberin: MLaw C. Funck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