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LB190038 vom 5. November 2019</w:t>
      </w:r>
    </w:p>
    <w:p>
      <w:r>
        <w:t>ZH Obergericht, 2019-11-05, DE</w:t>
      </w:r>
    </w:p>
    <w:p>
      <w:r>
        <w:rPr>
          <w:b/>
        </w:rPr>
        <w:t xml:space="preserve">Quelle: </w:t>
      </w:r>
      <w:r>
        <w:t>https://mcp.opencaselaw.ch/entscheid/zh_obergericht_LB190038</w:t>
      </w:r>
    </w:p>
    <w:p>
      <w:r>
        <w:t>FR: ZH_OBERGERICHT LB190038 du 5 novembre 2019</w:t>
      </w:r>
    </w:p>
    <w:p>
      <w:r>
        <w:t>IT: ZH_OBERGERICHT LB190038 del 5 novembre 2019</w:t>
      </w:r>
    </w:p>
    <w:p>
      <w:pPr>
        <w:pStyle w:val="Heading2"/>
      </w:pPr>
      <w:r>
        <w:t>Erwägungen</w:t>
      </w:r>
    </w:p>
    <w:p>
      <w:r>
        <w:rPr>
          <w:b/>
        </w:rPr>
        <w:t>E. 1</w:t>
      </w:r>
    </w:p>
    <w:p>
      <w:r>
        <w:t>Die Klägerin und Berufungsbeklagte (fortan Klägerin) schloss mit dem Be- klagten und Berufungskläger (fortan Beklagter) am 2. Juli 2010 einen ersten Hy- pothekarkreditvertrag über ein Darlehen von CHF 1'170'000.00 und mit einem Zinssatz von 1 %. Die Vertragsdauer wurde festgelegt auf zwei Jahre, vom 7. Juli 2010 bis 7. Juli 2012, mit Verlängerungsmöglichkeit (act. 5/2). Am 10. November 2011 schlossen die Parteien zwei weitere Hypothekarkreditverträge ab: den einen über CHF 600'000.00 mit einer Vertragsdauer vom 15. November 2011 bis 15. November 2014 und einem festen Zinssatz von 1.375 % pro Jahr (act. 5/3), den anderen ebenfalls über CHF 600'000.00 mit einer Vertragsdauer vom 15. November 2011 bis 15. November 2016 und einem festen Zinssatz von 1.75 % pro Jahr (act. 5/4).</w:t>
      </w:r>
    </w:p>
    <w:p>
      <w:r>
        <w:rPr>
          <w:b/>
        </w:rPr>
        <w:t>E. 2</w:t>
      </w:r>
    </w:p>
    <w:p>
      <w:r>
        <w:t>Am 4. Mai 2016 reichte die Klägerin beim Bezirksgericht Zürich gegen den Beklagten Klage ein und stellte die eingangs genannten Rechtsbegehren (act. 1 und 2). Gegenstand ihrer Forderung waren Darlehenszinse, Verzugszinse sowie eine Vertragsstrafe. Sie machte im Ergebnis geltend, der Beklagte sei nach Ab- lauf der festen Vertragsdauer des ersten Hypothekarkreditvertrages seiner (indi- rekten) Amortisationsverpflichtung nicht nachgekommen, weshalb die Klägerin al- le drei Verträge am 20. März 2014 gekündigt habe (act. 5/8 und 5/9). Der Beklagte wies die Forderungen zurück. Er bestritt nicht, die drei Hypothe- karkreditverträge abgeschlossen zu haben. Mit Bezug auf den ersten Vertrag be- stritt er aber den von der Klägerin geforderten Zins in der Höhe von 2,5%; er machte geltend, die Höhe des Zinses sei nach Ablauf der festen Vertragsdauer Gegenstand von Verhandlungen gewesen. Mit Bezug auf die beiden weiteren Hy- pothekarkredite vom 10. November 2011 stellte er sich auf den Standpunkt, dass er sich entgegen der Darstellung der Klägerin mit der Zinszahlung nicht in Verzug befunden habe, da mit der verantwortlichen Person der Beklagten in Zürich ver- einbart worden sei, dass bis zur Klärung der geschuldeten Zinshöhe für den ers- ten Hypothekarkredit und der damit verbundenen Amortisationsmodalitäten sämt-</w:t>
      </w:r>
    </w:p>
    <w:p>
      <w:r>
        <w:t>- 5 - liche Zins- und Amortisationszahlungen auch für die andern Darlehen ausgesetzt gewesen seien. Die Kündigungen seien zwar erfolgt, jedoch vertragswidrig gewe- sen (act. 21 und 65).</w:t>
      </w:r>
    </w:p>
    <w:p>
      <w:r>
        <w:rPr>
          <w:b/>
        </w:rPr>
        <w:t>E. 3</w:t>
      </w:r>
    </w:p>
    <w:p>
      <w:r>
        <w:t>Mit Urteil vom 11. Juni 2019 hiess die Vorinstanz die Klage teilweise gut. Gestützt auf die Vorbringen der Parteien sowie der im Recht liegenden Urkunden kam sie zum Schluss, dass die Klägerin berechtigt gewesen sei, nach Ablauf der festen Vertragsdauer des ersten Hypothekarkreditvertrages einen Zins von 2,5% zu erheben. Die feste Vertragsdauer habe geendet, ohne dass die Parteien eine entsprechende Vereinbarung über die Fortführung des Vertrags getroffen hätten und auch ohne Rückzahlung des Darlehens, weshalb die Ziffer 3 der Allgemeinen Geschäftsbedingungen (AGB) zur Anwendung gelangt sei. Die Angaben des Be- klagten bezüglich einer Stundung bzw. eines Aufschubs seien pauschal und un- substantiiert geblieben, weshalb eine Beweisabnahme nicht habe erfolgen kön- nen. Die von der Klägerin geforderten Darlehenszinse und die Verzugszinse da- rauf sowie die Verzugszinsforderung auf den ausstehenden Darlehenszinsbeträ- gen ab 1. Oktober 2014 hiess die Vorinstanz gut, wogegen sie die Forderung einer Vertragsstrafe (sowie eines Verzugszinses darauf) abwies (act. 83 = act. 90). Der Entscheid wurde dem Beklagten am 24. Juni 2019 zugestellt (act. 85)</w:t>
      </w:r>
    </w:p>
    <w:p>
      <w:r>
        <w:rPr>
          <w:b/>
        </w:rPr>
        <w:t>E. 4</w:t>
      </w:r>
    </w:p>
    <w:p>
      <w:r>
        <w:t>Schriftliche Mitteilung an die Parteien, an die Klägerin und Berufungsbeklag- te unter Beilage eines Doppels von act. 88, 89/1 - 8 und act. 101, sowie an das Bezirksgericht Zürich (7. Abt.),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22'000.--. Die Beschwerde an das Bundesgericht hat keine aufschiebende Wirkung.</w:t>
      </w:r>
    </w:p>
    <w:p>
      <w:r>
        <w:t>- 11 - Obergericht des Kantons Zürich II. Zivilkammer Der Vorsitzende: Die Gerichtsschreiberin: lic. iur. P. Diggelmann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