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LB190019 vom 23. April 2019</w:t>
      </w:r>
    </w:p>
    <w:p>
      <w:r>
        <w:t>ZH Obergericht, 2019-04-23, DE</w:t>
      </w:r>
    </w:p>
    <w:p>
      <w:r>
        <w:rPr>
          <w:b/>
        </w:rPr>
        <w:t xml:space="preserve">Quelle: </w:t>
      </w:r>
      <w:r>
        <w:t>https://mcp.opencaselaw.ch/entscheid/zh_obergericht_LB190019</w:t>
      </w:r>
    </w:p>
    <w:p>
      <w:r>
        <w:t>FR: ZH_OBERGERICHT LB190019 du 23 avril 2019</w:t>
      </w:r>
    </w:p>
    <w:p>
      <w:r>
        <w:t>IT: ZH_OBERGERICHT LB190019 del 23 aprile 2019</w:t>
      </w:r>
    </w:p>
    <w:p>
      <w:pPr>
        <w:pStyle w:val="Heading2"/>
      </w:pPr>
      <w:r>
        <w:t>Erwägungen</w:t>
      </w:r>
    </w:p>
    <w:p>
      <w:r>
        <w:rPr>
          <w:b/>
        </w:rPr>
        <w:t>E. 1</w:t>
      </w:r>
    </w:p>
    <w:p>
      <w:r>
        <w:t>Das Bezirksgericht Dietikon war auf die Klage nicht eingetreten, weil die sachliche Zuständigkeit der Zivilgerichte nicht gegeben sei (Urk. 39 S. 12). Das Obergericht entschied im aufgehobenen Urteil vom 25. August 2017 im gleichen Sinne: Erleide ein Grundeigentümer Schäden als Folge von Immissionen, welche von einem Werk ausgingen, für das dem Werkeigentümer das Enteignungsrecht</w:t>
      </w:r>
    </w:p>
    <w:p>
      <w:r>
        <w:t>- 6 - zustehe, und seien diese Immissionen auch bei sachgemässer Handhabung nicht oder nur mit unverhältnismässigem Aufwand vermeidbar, so entscheide über den Entschädigungsanspruch der Enteignungsrichter (Urk. 48 S. 15 f.). Das Bundes- gericht hielt in seinem Urteil vom 14. Februar 2019 an seiner bisherigen Recht- sprechung fest, wonach dem Grundeigentümer die nachbarrechtlichen Unterlas- sungs-, Beseitigungs- und Schadenersatzansprüche gemäss Art. 679 ZGB nicht zur Verfügung stehen, wenn die Einwirkungen von einem Werk ausgehen, das im öffentlichen Interesse liegt und für welches dem Werk- bzw. Grundstückseigen- tümer das Enteignungsrecht zusteht, und die Immissionen nicht oder nur mit ei- nem unverhältnismässigen Aufwand (insbesondere an Kosten) vermieden werden können (Urk. 51 S. 7 und 15). Weiter erwog das Bundesgericht, das beklagte Gemeinwesen sei beweispflichtig dafür, dass die Einwirkungen unausweichlich seien oder nur mit unverhältnismässigem Aufwand hätten behoben oder herabge- setzt werden können. Die Sache sei zur Prüfung zurückzuweisen, ob die Beklagte die Unvermeidbarkeit der Immissionen nachgewiesen habe (Urk. 51 S. 16 und 18).</w:t>
      </w:r>
    </w:p>
    <w:p>
      <w:r>
        <w:rPr>
          <w:b/>
        </w:rPr>
        <w:t>E. 2</w:t>
      </w:r>
    </w:p>
    <w:p>
      <w:r>
        <w:t>Die zweitinstanzliche Entscheidgebühr wird auf Fr. 3‘500.– festgesetzt.</w:t>
      </w:r>
    </w:p>
    <w:p>
      <w:r>
        <w:rPr>
          <w:b/>
        </w:rPr>
        <w:t>E. 3</w:t>
      </w:r>
    </w:p>
    <w:p>
      <w:r>
        <w:t>Die Regelung der Prozesskosten des vorliegenden Berufungsverfahrens wird dem neuen Entscheid des Bezirksgerichtes vorbehalten.</w:t>
      </w:r>
    </w:p>
    <w:p>
      <w:r>
        <w:rPr>
          <w:b/>
        </w:rPr>
        <w:t>E. 4</w:t>
      </w:r>
    </w:p>
    <w:p>
      <w:r>
        <w:t>Es wird vorgemerkt, dass der Kläger im Verfahren Geschäfts-Nr. LB170005 einen Kostenvorschuss von Fr. 3‘500.– geleistet hat.</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w:t>
      </w:r>
    </w:p>
    <w:p>
      <w:r>
        <w:t>- 8 - Es handelt sich um eine vermögensrechtliche Angelegenheit. Der Streitwert beträgt Fr. 67‘597.65. Die Beschwerde an das Bundesgericht hat keine aufschiebende Wirkung. Hinsichtlich des Fristenlaufs gelten die Art. 44 ff. BGG. Zürich, 23. April 2019 Obergericht des Kantons Zürich I. Zivilkammer Die Vorsitzende: Die Gerichtsschreiberin: Dr. L. Hunziker Schnider lic. iur. S. Notz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