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LB190008 vom 25. Oktober 2019</w:t>
      </w:r>
    </w:p>
    <w:p>
      <w:r>
        <w:t>ZH Obergericht, 2019-10-25, DE</w:t>
      </w:r>
    </w:p>
    <w:p>
      <w:r>
        <w:rPr>
          <w:b/>
        </w:rPr>
        <w:t xml:space="preserve">Quelle: </w:t>
      </w:r>
      <w:r>
        <w:t>https://mcp.opencaselaw.ch/entscheid/zh_obergericht_LB190008</w:t>
      </w:r>
    </w:p>
    <w:p>
      <w:r>
        <w:t>FR: ZH_OBERGERICHT LB190008 du 25 octobre 2019</w:t>
      </w:r>
    </w:p>
    <w:p>
      <w:r>
        <w:t>IT: ZH_OBERGERICHT LB190008 del 25 ottobre 2019</w:t>
      </w:r>
    </w:p>
    <w:p>
      <w:pPr>
        <w:pStyle w:val="Heading2"/>
      </w:pPr>
      <w:r>
        <w:t>Erwägungen</w:t>
      </w:r>
    </w:p>
    <w:p>
      <w:r>
        <w:rPr>
          <w:b/>
        </w:rPr>
        <w:t>E. 1</w:t>
      </w:r>
    </w:p>
    <w:p>
      <w:r>
        <w:t>Was den Sachverhalt und die Prozessgeschichte anbelangt, kann auf deren Wiedergabe im vorinstanzlichen Entscheid verwiesen werden (Urk. 105 S. 3 f.). Mit Beschluss vom 28. Dezember 2018 trat die Vorinstanz auf die Klage nicht ein (Urk. 105).</w:t>
      </w:r>
    </w:p>
    <w:p>
      <w:r>
        <w:rPr>
          <w:b/>
        </w:rPr>
        <w:t>E. 2</w:t>
      </w:r>
    </w:p>
    <w:p>
      <w:r>
        <w:t>Gegen diesen Beschluss erhob der Kläger und Berufungskläger (fortan Kläger) mit Eingabe vom 13. Februar 2019 rechtzeitig Berufung und stellte die eingangs wiedergegebenen Anträge (Urk. 104 S. 2). Die Beklagten und Beru- fungsbeklagten (fortan Beklagte) verzichteten auf die Einreichung einer Beru- fungsantwort und die Stellung von Anträgen (Urk. 111). Das Verfahren ist spruch- reif. II. 1. Die Vorinstanz verneinte ihre sachliche Zuständigkeit mit der Begründung, dass sowohl der Kläger als auch alle Beklagten im Zeitpunkt der Einreichung der Klage am 23. Mai 2012 im Handelsregister eingetragen gewesen seien und die Streitigkeit zwischen den Parteien die geschäftliche Tätigkeit mindestens einer Partei betroffen habe. Unter diesen Umständen sei die Zuständigkeit des Han- delsgerichts im Sinne von Art. 6 Abs. 2 ZPO zwingend gegeben. Eine Einlassung sei nicht möglich. Eine Vereinbarung über die sachliche Zuständigkeit sei eben- falls ausgeschlossen, auch wenn sie noch unter der Geltung der Zürcher Zivilpro- zessordnung getroffen worden sei. Die Vorinstanz trat deshalb mangels sachli- cher Zuständigkeit auf die Klage nicht ein (Urk. 105 S. 6 f.).</w:t>
      </w:r>
    </w:p>
    <w:p>
      <w:r>
        <w:t>- 5 - 2.a) Der Kläger rügte diese Ansicht der Vorinstanz und stellte sich auf den Standpunkt, dass die Prozessvoraussetzungen erst im Urteilszeitpunkt gegeben sein müssten. Dies sei jedoch vorliegend nicht der Fall gewesen, da im Urteils- zeitpunkt unbestrittenermassen nicht mehr alle Beklagten im Handelsregister ein- getragen gewesen seien. Dies treffe namentlich auf den Beklagten 2, aber auch auf den Kläger zu (Urk. 104 S. 4 f.). Die Vorinstanz war lediglich davon ausge- gangen, dass der Beklagte 2 im Laufe des Verfahrens am 9. April 2018 seine Ein- tragung als Einzelunternehmer im Handelsregister hatte löschen lassen (Urk. 105 S. 7). Ob es sich bei der Behauptung des Klägers, wonach auch er seine Einzel- firma im Handelsregister habe löschen lassen, um ein erst im Berufungsverfahren vorgebrachtes, unzulässiges Novum handelt (Art. 317 Abs. 1 ZPO), kann offenge- lassen werden, da dies für die rechtliche Beurteilung unerheblich ist. Entgegen der Ansicht des Klägers kommt es einzig darauf an, ob diese Prozessvorausset- zung im Zeitpunkt der Anhängigmachung der Klage gegeben ist: Die schweizerische Zivilprozessordnung regelt nicht, in welchem Zeitpunkt das angerufene Gericht sachlich zuständig sein muss. Als Prozessvoraussetzung (Art. 59 Abs. 2 lit. b ZPO) muss die sachliche Zuständigkeit grundsätzlich im Zeit- punkt der Ausfällung des Sachurteils gegeben sein. Geht es jedoch um den Ein- trag im Handelsregister im Sinne von Art. 6 Abs. 2 lit. c ZPO, lässt sich an diesem Grundsatz allerdings nicht festhalten. Bezüglich des Zeitpunktes der Eintragung im Handelsregister kann nur verlangt werden, dass der Eintrag beim Beginn der Rechtshängigkeit besteht. Bei nachträglicher, während des Prozesses eintreten- der Änderung der Verhältnisse bleibt die Zuständigkeit des Handelsgerichts erhal- ten (analog Art. 64 Abs. 1 lit. b ZPO; BK ZPO-Zingg, Art. 59 N 17). In diesem Sin- ne besteht eine perpetuatio fori. Nicht erforderlich ist, dass der Eintrag schon zur Zeit des Abschlusses oder der Ausführung des streitigen Geschäfts bestand (BK ZPO-Berger, Art. 6 N 17; BSK ZPO-Vock/Nater, Art. 6 N 14; ZK ZPO-Vetter, Art. 6 N 27). Sind beide Parteien in einer der verlangten Eigenschaften im Handelsregis- ter eingetragen und betrifft der Streit mindestens die geschäftliche Tätigkeit einer Partei, ist - wie auch die Vorinstanz zutreffend erwog - zwingend das Handelsge- richt sachlich zuständig (BK ZPO-Berger, Art. 6 N 20). Da sämtliche Parteien im Zeitpunkt der Rechtshängigkeit (Art. 62 Abs. 1 ZPO) der vorliegenden Klage am</w:t>
      </w:r>
    </w:p>
    <w:p>
      <w:r>
        <w:t>- 6 - 23. Mai 2012 im Handelsregister eingetragen waren, ist somit zwingend die sach- liche Zuständigkeit des Handelsgerichts gegeben; ein Wahlrecht für die Parteien ist unter diesen Umständen im Sinne von Art. 6 Abs. 3 ZPO ausgeschlossen. Entgegen der Auffassung des Klägers besteht auch nicht dieselbe Konstellation wie im Parallelverfahren CG140029 (Projekt "G._____-Strasse"), da in jenem Ver- fahren nicht alle Parteien im Handelsregister eingetragen waren, weshalb sich das Bezirksgericht Meilen für zuständig erklärte. Aus jenem Verfahren bzw. der Rechtsauffassung der Vorinstanz in dem genannten Verfahren kann der Kläger daher nichts zu seinen Gunsten ableiten. b) Die Vorinstanz erwog weiter, dass auch eine Einlassung nicht möglich sei. Die Parteien hätten zwar den Gerichtsstand Meilen vereinbart; eine Vereinba- rung über die sachliche Zuständigkeit sei jedoch ausgeschlossen, auch wenn die- se Vereinbarung unter der Geltung der Zürcher Zivilprozessordnung geschlossen worden sei (Urk. 105 S. 7). Der Kläger machte demgegenüber geltend, dass die bundesgerichtliche Rechtsprechung, wonach die sachliche Zuständigkeit der Ge- richte der Dispositionsfreiheit der Parteien entzogen sei, in der vorliegenden Konstellation, da zwei der Parteien keine Eintragungspflicht hätten, zu hinterfra- gen sei. aa) Die sachliche Zuständigkeit der Gerichte (Art. 4 ff. ZPO) ist der Disposi- tionsfreiheit der Parteien entzogen. Diese können nicht vereinbaren, einen Streit einem andern als dem vom Gesetz bezeichneten staatlichen Gericht zu unterbrei- ten, es sei denn, das Gesetz sehe eine Wahlmöglichkeit vor, was jedoch für den vorliegenden Fall, in dem alle Parteien zu Beginn des Prozesses im Handelsregis- ter eingetragen waren, nicht zutrifft (Art. 6 Abs. 3 ZPO; vgl. die Ausführungen oben). Zwar können die Parteien gemäss Art. 17 ZPO Gerichtsstandsvereinba- rungen schliessen; diese Bestimmung steht unter dem Titel "Örtliche Zuständig- keit" (Art. 9 ff. ZPO) und wurde wörtlich von Art. 9 Abs. 1 GestG übernommen, welcher sich nur auf die örtliche Zuständigkeit bezog (Art. 1 Abs. 1 GestG). Ver- einbarungen über die sachliche Zuständigkeit der Gerichte lassen sich darauf nicht stützen (BGE 138 III 471 E. 3.1). Unter der Geltung der Zürcher Zivilpro- zessordnung vereinbarte örtliche Gerichtsstandsvereinbarungen gelten gemäss</w:t>
      </w:r>
    </w:p>
    <w:p>
      <w:r>
        <w:t>- 7 - Art. 406 ZPO nach Inkrafttreten der Schweizerischen Zivilprozessordnung weiter, nicht dagegen solche bezüglich der sachlichen Zuständigkeit (BGE 138 471 III E. 3.3). Art. 406 ZPO hat gemäss der bundesgerichtlichen Rechtsprechung nach dem klaren Willen des Gesetzgebers die zuvor geltende Regelung des Art. 39 GestG übernommen, welche nur für Vereinbarungen über die örtliche Zuständig- keit galt (Art. 1 Abs. 1 GestG). Nichts deute daraufhin, dass der Begriff "Gerichts- standsvereinbarung" in den Art. 406 und 17 ZPO verschieden sein sollte und in Art. 406 ZPO einen über die gewöhnliche Bedeutung hinausgehenden Sinn hätte. Das Bedürfnis der Parteien nach Vertragstreue, nach Vertrauen in die Rechtsord- nung und nach Rechtssicherheit erfordere keine andere Auslegung von Art. 406 ZPO (BGE 138 III 471 E. 3.3). bb) Der Kläger vertrat dagegen die Auffassung, dass die Parteien unter der Geltung der Zürcher Zivilprozessordnung anstelle des Handelsgerichts die Zu- ständigkeit eines anderen Gerichts hätten vereinbaren können. Die Ansicht des Bundesgerichts bezüglich einer generell fehlenden Prorogierbarkeit der bezirks- gerichtlichen Zuständigkeit im handelsgerichtlichen Zuständigkeitsbereich sei im vorliegenden Fall nicht sachgerecht, weil der Handelsregistereintrag des Klägers wie auch des Beklagten 2 keine konstitutive Bedeutung habe, sondern rein fakul- tativ sei; beide Einträge seien in der Zwischenzeit auch gelöscht worden. In der vorliegenden Konstellation hätten es die Parteien in der Hand, die Voraussetzun- gen der handelsgerichtlichen Zuständigkeit nach Belieben zu erzeugen oder ab- zuschaffen. Daran scheitere der faktische Versuch, die Bestimmung der sachli- chen Zuständigkeit der Parteidisposition zu entziehen. Aus diesem Grunde müsse angenommen werden, dass die im angefochtenen Urteil zitierte bundesgerichtli- che Rechtsprechung nur für Konstellationen im Sinne von Art. 6 Abs. 2 lit. c ZPO gelte, bei denen zudem sämtliche Parteien aufgrund einer gesetzlichen Verpflich- tung im Handelsregister eingetragen seien. Bei Konstellationen wie der vorliegen- den müsse es dagegen in der Parteidisposition liegen, mittels Gerichtsstandsver- einbarungen über die sachliche Zuständigkeit das Handelsgericht zu disponieren (Urk. 104 S. 5 ff.).</w:t>
      </w:r>
    </w:p>
    <w:p>
      <w:r>
        <w:t>- 8 - Dieser Auffassung kann nicht gefolgt werden. Es besteht kein Unterschied zwischen den zur Eintragung im Handelsregister verpflichteten und den zur Ein- tragung lediglich berechtigten Personen. Die Eintragung hat für beide Kategorien dieselben Rechtswirkungen. Eine solche Differenzierung findet sich denn auch weder im Gesetz (z.B. § 44 GOG; Art. 6 lit. c ZPO; Art. 934 OR; Art. 36 ff. HRegV), noch in Literatur und Rechtsprechung. Auch der Kläger selbst vermochte keine entsprechende Fundstelle für eine solche unterschiedliche Behandlung die- ser Personen zu nennen (Urk. 104 S. 8). Der oben wiedergegebenen Rechtsauf- fassung des Bundesgerichtes ist daher zu folgen. Der Kläger vermochte keine stichhaltigen Argumente geltend zu machen, welche diese Rechtsprechung in Frage stellen könnten. Im Übrigen blieb auch unklar, ob die Parteien mit der "Ge- richtsstandsvereinbarung Meilen" überhaupt auch die sachliche und nicht nur die örtliche Zuständigkeit regeln wollten. Da nur relevant ist, ob die Prozessvoraus- setzung der sachlichen Zuständigkeit im Zeitpunkt der Einleitung der Klage vor- lag, spielt es keine Rolle, dass nun nachträglich - infolge Löschung zweier Partei- en im Handelsregister während der Dauer des Prozesses - das Bezirksgericht für die Klage zuständig wäre. Die Berufung ist daher im Hauptpunkt abzuweisen und der vorinstanzliche Nichteintretensbeschluss zu bestätigen.</w:t>
      </w:r>
    </w:p>
    <w:p>
      <w:r>
        <w:rPr>
          <w:b/>
        </w:rPr>
        <w:t>E. 3</w:t>
      </w:r>
    </w:p>
    <w:p>
      <w:r>
        <w:t>Die Gerichtskosten für das zweitinstanzliche Verfahren werden dem Kläger auferlegt und mit seinem Kostenvorschuss verrechnet.</w:t>
      </w:r>
    </w:p>
    <w:p>
      <w:r>
        <w:rPr>
          <w:b/>
        </w:rPr>
        <w:t>E. 4</w:t>
      </w:r>
    </w:p>
    <w:p>
      <w:r>
        <w:t>Schriftliche Mitteilung an die Parteien sowie an die Vorinstanz, je gegen Empfangsschein.</w:t>
      </w:r>
    </w:p>
    <w:p>
      <w:r>
        <w:t>- 11 - Nach unbenutztem Ablauf der Rechtsmittelfrist gehen die erstinstanzlichen Akten an die Vorinstanz zurück.</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92 BGG. Es handelt sich um eine vermögensrechtliche Angelegenheit. Der Streitwert beträgt Fr. 112'123.90. Die Beschwerde an das Bundesgericht hat keine aufschiebende Wirkung. Hinsichtlich des Fristenlaufs gelten die Art. 44 ff. BGG. Zürich, 25. Oktober 2019 Obergericht des Kantons Zürich I. Zivilkammer Die Vorsitzende: Die Gerichtsschreiberin: Dr. L. Hunziker Schnider lic. iur. L. Stünzi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