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LB190002 vom 16. August 2019</w:t>
      </w:r>
    </w:p>
    <w:p>
      <w:r>
        <w:t>ZH Obergericht, 2019-08-16, DE</w:t>
      </w:r>
    </w:p>
    <w:p>
      <w:r>
        <w:rPr>
          <w:b/>
        </w:rPr>
        <w:t xml:space="preserve">Quelle: </w:t>
      </w:r>
      <w:r>
        <w:t>https://mcp.opencaselaw.ch/entscheid/zh_obergericht_LB190002</w:t>
      </w:r>
    </w:p>
    <w:p>
      <w:r>
        <w:t>FR: ZH_OBERGERICHT LB190002 du 16 août 2019</w:t>
      </w:r>
    </w:p>
    <w:p>
      <w:r>
        <w:t>IT: ZH_OBERGERICHT LB190002 del 16 agosto 2019</w:t>
      </w:r>
    </w:p>
    <w:p>
      <w:pPr>
        <w:pStyle w:val="Heading2"/>
      </w:pPr>
      <w:r>
        <w:t>Erwägungen</w:t>
      </w:r>
    </w:p>
    <w:p>
      <w:r>
        <w:rPr>
          <w:b/>
        </w:rPr>
        <w:t>E. 1</w:t>
      </w:r>
    </w:p>
    <w:p>
      <w:r>
        <w:t>Die Beklagte und Berufungsklägerin (fortan Beklagte) ist die Schweizer Tochtergesellschaft einer britischen Bank und hat ihren Sitz in Zürich. Der Kläger und Berufungsbeklagte (fortan Kläger) ist der Alleinerbe der im mm.2009 verstor- benen C._____ (fortan Erblasserin), die Kundin der Beklagten war.</w:t>
      </w:r>
    </w:p>
    <w:p>
      <w:r>
        <w:rPr>
          <w:b/>
        </w:rPr>
        <w:t>E. 2</w:t>
      </w:r>
    </w:p>
    <w:p>
      <w:r>
        <w:t>Hintergrund des Streits ist ein Vermögensverwaltungsauftrag, den die Erb- lasserin im Jahr 1995 mit der Beklagten abgeschlossen hatte. Mit seiner Klage verlangt der Kläger gestützt auf Art. 400 OR die Herausgabe von Retrozessionen, welche die Beklagte in den Jahren von 1995 bis 2014 im Zusammenhang mit die- sem Vermögensverwaltungsauftrag erhalten hatte.</w:t>
      </w:r>
    </w:p>
    <w:p>
      <w:r>
        <w:rPr>
          <w:b/>
        </w:rPr>
        <w:t>E. 3</w:t>
      </w:r>
    </w:p>
    <w:p>
      <w:r>
        <w:t>Mit Einreichung der Klagebewilligung vom 5. November 2014 (act. 1) und Klageschrift vom 23. Februar 2015 (act. 2) machte der Kläger beim Bezirksgericht Zürich (fortan Vorinstanz) die eingangs genannte Klage anhängig. Mit Eingabe vom 1. Juli 2015 (act. 24) beantwortete die Beklagte die Klage. Nach Durchfüh- rung einer Instruktionsverhandlung am 24. November 2015 (Prot. VI S. 11 ff.) und einem zweiten Schriftenwechsel (act. 42 und act. 55) sowie je einer weiteren schriftlichen Stellungnahme (act. 60 und 64) und dem beiderseitigen Verzicht auf die Parteivorträge an der Hauptverhandlung (act. 61 und 62) erliess die Vorin- stanz am 15. Mai 2017 den Beweisbeschluss und nahm an der Hauptverhandlung vom 25. Oktober 2017 (Prot. VI S. 19 ff.) die Parteibefragung des Klägers ab. Bei-</w:t>
      </w:r>
    </w:p>
    <w:p>
      <w:r>
        <w:t>- 7 - de Parteien reichten die Schlussvorträge mit Datum vom 11. Dezember 2017 ein (act. 85 und 86). Auf Antrag der Beklagten (act. 86) und mit dem Einverständnis des Klägers (act. 88) wurde mit Verfügung vom 7. März 2018 (act. 93) das Proto- koll der Parteibefragung des Klägers berichtigt. Mit Eingaben vom 31. August 2018 (act. 104 und 105) erstatteten die Parteien die zweiten Schlussvorträge, die ihnen gegenseitig zugestellt wurden, worauf die Vorinstanz am 27. November 2018 das oben wiedergegebene Urteil fällte, mit dem sie die Klage teilweise gut- hiess (act. 108 = 121). Mit Beschluss vom 19. Dezember 2018 (act. 113 = 122) wurde ein Begehren der Beklagten vom 13. Dezember 2018 um eine Berichtigung oder Erläuterung abgewiesen bzw. abgeschrieben.</w:t>
      </w:r>
    </w:p>
    <w:p>
      <w:r>
        <w:rPr>
          <w:b/>
        </w:rPr>
        <w:t>E. 4</w:t>
      </w:r>
    </w:p>
    <w:p>
      <w:r>
        <w:t>Gegen das Urteil vom 27. November 2018, das ihrer Vertreterin am 29. No- vember 2018 zugestellt worden war (act. 110), erhob die Beklagte mit Eingabe vom 14. Januar 2019 (act. 118) - unter Berücksichtigung der Gerichtsferien (Art. 145 Abs. 1 lit. c ZPO) - rechtzeitig Berufung mit den eingangs genannten Anträ- gen. Der Kläger beantwortete die Berufung mit Eingabe vom 8. März 2019 (act. 128) und dem Antrag auf Abweisung der Berufung.</w:t>
      </w:r>
    </w:p>
    <w:p>
      <w:r>
        <w:rPr>
          <w:b/>
        </w:rPr>
        <w:t>E. 6</w:t>
      </w:r>
    </w:p>
    <w:p>
      <w:r>
        <w:t>Das Berufungsverfahren ist spruchreif. Die Berufung ist aus den nachste- henden Gründen gutzuheissen. Der Beklagten ist mit diesem Entscheid ein Dop- pel der Berufungsantwort zuzustellen. II. 1. Mit seinem in der Replik angepassten Rechtsbegehren verlangte der Kläger die Bezahlung von 20 Beträgen zuzüglich Verzugszins jeweils ab Beginn des auf den Erhalt dieser Beträge durch die Beklagte folgenden Jahres (vgl. act. 42 S. 2). Die Vorinstanz hiess die Klage mit Bezug auf zwölf Beträge (vom dritten bis und mit dem vierzehnten) gut. Mit Bezug auf die übrigen Beträge (die ersten zwei und die letzten sechs) wurde die Klage abgewiesen (vgl. act. 122). 2. Im Hauptstandpunkt verlangt die Beklagte mit der Berufung die Abweisung der Klage mit Bezug auf die ältesten sechs Betreffnisse, die von der Vorinstanz zugesprochen wurden. Im Eventualstandpunkt anerkennt sie alle von der Vorin-</w:t>
      </w:r>
    </w:p>
    <w:p>
      <w:r>
        <w:t>- 8 - stanz zugesprochenen Teilbeträge, verlangt aber, dass der Verzugszins für alle erst ab 30. April 2016 zugesprochen werde (vgl. act. 2 S. 2 f.). 3. Nicht angefochten und damit in Rechtskraft erwachsen ist die Gutheissung der Klage mit Bezug auf die weiteren sechs Beträge, die von der Vorinstanz zuge- sprochen wurden, allerdings mit Verzugszins erst ab 30. April 2016 (wegen des Eventualantrags). Da der Kläger mit der Berufungsantwort keine Anschlussberu- fung erhob, wurde die teilweise Abweisung der Klage ebenfalls nicht angefochten. 4. Das vorinstanzliche Urteil wurde damit nicht vollumfänglich angefochten und ist somit teilweise in Rechtskraft erwachsen. Einer entsprechenden förmlichen Feststellung stehen allerdings zwei Hindernisse entgegen, so dass davon abzu- sehen ist. a) Mit Bezug auf die nicht angefochtene Gutheissung würde eine solche Fest- stellung mehr Fragen aufwerfen als klären, weil der Verzugszinsenlauf im Even- tualstandpunkt nur teilweise anerkannt wurde, was bei einer Gutheissung des Hauptantrags aber nicht zum Tragen kommt. Dies mit einem Rechtskraftbe- schluss in Kombination mit einem Erkenntnis über die Sache nachzuvollziehen, würde sehr unübersichtlich. Einfacher ist es, bei einer Gutheissung der Berufung Dispositiv-Ziffer 2 des vorinstanzlichen Entscheides gesamthaft aufzuheben und unter Berücksichtigung des Berufungsentscheides und der nicht angefochtenen Punkte neu zu formulieren. b) Daneben verunmöglicht auch der Umstand, dass es die Vorinstanz unter- liess, die teilweise Abweisung der Klage im Dispositiv zu erwähnen, nun eine ent- sprechende Feststellung unter Verweis auf das vorinstanzliche Urteil zu treffen. Ein entsprechendes Berichtigungs- oder Erläuterungsbegehren der Beklagten hatte die Vorinstanz abgewiesen (bzw. abgeschrieben, soweit es auf eine Erläute- rung zielte) (act. 122). Das Dispositiv hat sich über sämtliche Anträge zu äussern. Daraus, dass einige Anträge ausdrücklich gutgeheissen werden, folgt nicht ohne Weiteres, dass alle übrigen Anträge abgewiesen werden. Die Vorinstanz erwähnt auch in der Begrün-</w:t>
      </w:r>
    </w:p>
    <w:p>
      <w:r>
        <w:t>- 9 - dung ihres Entscheides nur, welche Teile der Klage gutzuheissen sind (act. 122 S. 45 Ziff. 125 und S. 47 Ziff. 137), ohne irgendwo festzuhalten, dass die Klage im Übrigen abzuweisen ist. Andernfalls läge ein Widerspruch zwischen Begründung und Dispositiv vor, welcher der Berichtigung zugänglich wäre. Der Umstand, dass sich beide Parteien über ihr Verständnis einig sind, wie die Vorinstanz in ihrem Beschluss vom 19. Dezember 2019 erwähnt (act. 122 S. 2), dürfte bei solchen Sachverhalten die Regel sein und macht eine Berichtigung nicht überflüssig. Die Vorinstanz hätte daher ihren Entscheid entsprechend er- gänzen müssen. 5. Das ändert nichts daran, dass über die Punkte, die nicht angefochten wur- den, nicht mehr zu entscheiden ist, so dass in den nachfolgenden Erwägungen darauf nicht einzugehen ist. III. 1. Während sich die Beklagte ursprünglich auf eine fünfjährige Verjährungsfrist berufen hatte und mit Bezug auf sämtliche Herausgabeansprüche für die Zeit vor dem Jahr 2008 die Verjährung geltend machte (act. 24 S. 73 ff. Rz. 162 ff.), be- schränkte sie ihre Verjährungseinrede später auf Ansprüche aus der Zeit vor dem Jahr 2003. Damit folgte sie einem neuen Leitentscheid des Bundesgerichts, ge- mäss dem für die Herausgabe von Retrozessionen eine Verjährungsfrist von zehn Jahren gilt (act. 86 S. 5 Rz. 5 und S. 30 ff. Rz. 66 ff. m.H. auf BGE 143 III 348). 2. Die Vorinstanz verwarf die beklagtische Verjährungseinrede. Sie ging davon aus, dass die zehnjährige Verjährungsfrist beginnt, wenn Rechenschaft abgelegt wurde, was erstmals im Juni 2013 geschehen sei, und wich damit von der von der Beklagten angerufenen bundesgerichtlichen Rechtsprechung ab. Als Begründung führte die Vorinstanz an, dass der bundesgerichtliche Entscheid einen Versicherungsberater betreffe und daher nicht unbesehen auf den vorlie- genden Fall übertragen werden könne, der eine Vermögensverwalterin mit weit- reichenden Kompetenzen betreffe, was eine ganz andere Konstellation sei. Die</w:t>
      </w:r>
    </w:p>
    <w:p>
      <w:r>
        <w:t>- 10 - Erblasserin bzw. der Kläger habe keinen Anlass gehabt, aktiv die Rechenschafts- ablage bezüglich weiterer Einnahmequellen einzufordern. Eine solche Pflicht wi- derspreche der Vertrauensstellung und Kompetenz eines Vermögensverwalters. Damit würde im Ergebnis die Rechenschaftspflicht der Beklagten von einer Bring- schuld in eine Holschuld umgewandelt, was der gesetzlichen Konzeption wider- spreche. Das Bundesgericht habe sich mit diesen Punkten nicht vertieft auseinan- dergesetzt, weshalb sein Entscheid für die Vermögensverwaltung nicht einschlä- gig sei (act. 121 S. 13 ff. Rz. 33 ff.) Im Sinne einer Eventualbegründung bejahte die Vorinstanz einen Rechtsmiss- brauch, was das Bundesgericht vorbehalten hatte, weil sich die Beklagte spätes- tens seit dem im Jahr 2006 ergangenen Entscheid BGE 132 III 460 wissentlich und willentlich einer möglichen Ablieferungspflicht mittels pflichtwidriger Unterlas- sung der Rechenschaft entzog, was ihr - im Sinne der bundesgerichtlichen Recht- sprechung - als kausales Verhalten anzurechnen sei, das den Eintritt der Verjäh- rung herbeigeführt habe, so dass ihrer Verjährungseinrede wegen Rechtsmiss- brauchs der Schutz zu versagen sei (act. 121 S. 16 Rz. 45 i.V.m. S. 15 Rz. 40 f.). 3. Mit ihrer Berufung hält die Beklagte an ihrer Verjährungseinrede für die Her- ausgabeansprüche für die Zeit vor dem Jahr 2003 fest. Sie stützt sich massgeb- lich auf BGE 143 III 348, gemäss dem Herausgabeansprüche nach Art. 400 OR sofort, d.h. im Zeitpunkt des Empfangs der Retrozessionen durch den Beauftrag- ten fällig werden und in diesem Zeitpunkt auch die massgebliche zehnjährige Ver- jährungsfrist zu laufen beginnt. Sie hält der Vorinstanz vor, sie tue diesen Ent- scheid mit haltlosen Argumenten als nicht einschlägig ab und verhalte sich wider- sprüchlich, indem sie dem Kläger entgegen ihrer Auffassung, dass die fraglichen Herausgabeforderungen erst ab 2013 fällig geworden seien, Verzugszins für ei- nen bis ins Jahr 1998 zurückreichenden Zeitraum zuspreche (act. 118 S. 8 f. Rz.</w:t>
      </w:r>
    </w:p>
    <w:p>
      <w:r>
        <w:rPr>
          <w:b/>
        </w:rPr>
        <w:t>E. 11</w:t>
      </w:r>
    </w:p>
    <w:p>
      <w:r>
        <w:t>Es ist demnach festzuhalten, dass die mit BGE 148 II 348 begründete Praxis zur Verjährung des Herausgabeanspruchs für Retrozessionen auch in diesem Fall zur Anwendung kommt. Demnach beträgt die Verjährungsfrist der Herausgabean- sprüche für Retrozessionen zehn Jahre (was unumstritten war) und beginnt mit dem Empfang der Retrozessionen.</w:t>
      </w:r>
    </w:p>
    <w:p>
      <w:r>
        <w:t>- 17 - Dass die Beklagte über die Retrozessionen keine Rechenschaft ablegte und die Erblasserin bzw. den Kläger nicht oder erst mit der Änderung der AGB im Jahr 2009 über die Branchenpraxis der Zahlung von Retrozessionen informierte, macht ihre Verjährungseinrede noch nicht rechtsmissbräuchlich. Die Herausgabeansprüchen des Klägers für Retrozessionen, welche die Beklagte im Jahr 2002 und früher empfing, waren demnach bei Einleitung des Schlich- tungsverfahrens am 5. November 2013 bereits verjährt. Die Verjährungseinrede der Beklagten ist somit erfolgreich.</w:t>
      </w:r>
    </w:p>
    <w:p>
      <w:r>
        <w:rPr>
          <w:b/>
        </w:rPr>
        <w:t>E. 12</w:t>
      </w:r>
    </w:p>
    <w:p>
      <w:r>
        <w:t>Die Berufung ist demnach gutzuheissen, das Urteil der Vorinstanz ist aufzu- heben und die Klage ist mit Bezug auf die Herausgabeansprüche für Retrozessi- onen aus den Jahren 2003 bis und mit 2008 zuzüglich Verzugszins abzuweisen (zur Formulierung des Dispositivs vgl. oben II.4.a). Auf den beklagtischen Eventu- alantrag muss unter diesen Umständen nicht eingegangen werden. IV. 1. Mit der Gutheissung der Berufung sind die Kosten- und Entschädigungsfol- gen des erstinstanzlichen Verfahrens neu zu regeln. Nach der Korrektur mit diesem Urteil werden dem Kläger noch CHF 58'369.00 zu- gesprochen (ohne Zins). Bezogen auf den Streitwert von rund CHF 110'000.00 obsiegt er damit ungefähr zur Hälfte. Demnach sind die vorinstanzlichen Kosten, die nicht beanstandet wurden und da- her zu bestätigen sind, den Parteien je zur Hälfte zu auferlegen und die vorin- stanzlichen Parteientschädigungen wettzuschlagen. Die Beklagte ist ferner zu verpflichten, dem Kläger die Hälfte der Kosten des Schlichtungsverfahrens von CHF 950.00 zu ersetzen. 2. Die Beklagte obsiegt vollumfänglich mit der Berufung. Demnach ist die (aus- gehend von einem Streitwert des Berufungsverfahrens von CHF 22'662.00) auf CHF 3'350.00 festzusetzende Entscheidgebühr dem Kläger zu auferlegen und der</w:t>
      </w:r>
    </w:p>
    <w:p>
      <w:r>
        <w:t>- 18 - Kläger zu verpflichten, der Beklagten eine Parteientschädigung von CHF 2'750.00 (ohne Mehrwertsteuerersatz, da ein solcher nicht verlangt wurde) zu bezahlen. 3. Vorliegend haben beide Parteien Vorschüsse für die Gerichtskosten geleis- tet (der Kläger für die erste Instanz und die Beklagte für die zweite Instanz). Aus- serdem hat der Kläger eine Sicherheit für die Parteientschädigung geleistet, die von der Vorinstanz freigegeben wurde, was aufzuheben ist. Die geleisteten Beträge reichen bei diesem Ergebnis grundsätzlich aus, um sämt- liche Kosten und Entschädigungen zu liquidieren, ohne dass Nachzahlungen er- forderlich sind oder Zahlungen zwischen den Parteien fliessen. Die Abwicklung der Kosten- und Entschädigungsfolgen soll der Kasse überlassen werden. Es werden daher keine entsprechenden Anordnungen getroffen. Es wird erkannt: 1. In Gutheissung der Berufung der Beklagten wird Dispositiv-Ziffer 2 des Ur- teils des Bezirksgerichtes Zürich vom 27. November 2018 aufgehoben und durch folgende Anordnung ersetzt: "Die Beklagte wird verpflichtet, dem Kläger jeweils CHF 7'917 plus Zins zu 5 % p.a. ab 1. Januar 2004, CHF 8'461 plus Zins zu 5 % p.a. ab 1. Januar 2005, CHF 9'131 plus Zins zu 5 % p.a. ab 1. Januar 2006, CHF 7'945 plus Zins zu 5 % p.a. ab 1. Januar 2007, CHF 12'115 plus Zins zu 5 % p.a. ab 1. Januar 2008, CHF 12'800 plus Zins zu 5 % p.a. ab 1. Januar 2009 zu bezahlen. Im Übrigen wird die Klage abgewiesen." 2. Dispositiv-Ziffer 3 des Urteils des Bezirksgerichts Zürich vom 27. November 2018 wird bestätigt und Dispositiv-Ziffer 4-6 des Urteils des Bezirksgerichts Zürich vom 27. November 2018 werden aufgehoben.</w:t>
      </w:r>
    </w:p>
    <w:p>
      <w:r>
        <w:t>- 19 - Die Kosten gemäss Dispositiv-Ziffer 3 des Urteils des Bezirksgerichts Zürich vom 27. November 2018 von CHF 18'300.00 (Entscheidgebühr) und CHF 692.50 (Barauslagen) werden den Parteien je zur Hälfte auferlegt. Die Beklagte und Berufungsklägerin wird verpflichtet, dem Kläger und Beru- fungsbeklagten CHF 475.00 (an die Kosten des Schlichtungsverfahrens von CHF 950.00) zu bezahlen. 3. Die zweitinstanzliche Entscheidgebühr wird auf CHF 3'350.00 festgesetzt und dem Kläger und Berufungsbeklagten auferlegt. 4. Der Kläger wird verpflichtet, der Beklagten und Berufungsklägerin eine Par- teientschädigung von CHF 2'750.00 für das zweitinstanzliche Verfahren zu bezahlen. 5. Schriftliche Mitteilung an die Parteien, an die Beklagte und Berufungskläge- rin unter Beilage der Berufungsantwort (act. 128), sowie an das Bezirksge- richt Zürich, je gegen Empfangsschein.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22'662.00. Die Beschwerde an das Bundesgericht hat keine aufschiebende Wirkung.</w:t>
      </w:r>
    </w:p>
    <w:p>
      <w:r>
        <w:t>- 20 - Obergericht des Kantons Zürich II. Zivilkammer Die Gerichtsschreiberin: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