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LB180064 vom 18. Februar 2019</w:t>
      </w:r>
    </w:p>
    <w:p>
      <w:r>
        <w:t>ZH Obergericht, 2019-02-18, DE</w:t>
      </w:r>
    </w:p>
    <w:p>
      <w:r>
        <w:rPr>
          <w:b/>
        </w:rPr>
        <w:t xml:space="preserve">Quelle: </w:t>
      </w:r>
      <w:r>
        <w:t>https://mcp.opencaselaw.ch/entscheid/zh_obergericht_LB180064</w:t>
      </w:r>
    </w:p>
    <w:p>
      <w:r>
        <w:t>FR: ZH_OBERGERICHT LB180064 du 18 février 2019</w:t>
      </w:r>
    </w:p>
    <w:p>
      <w:r>
        <w:t>IT: ZH_OBERGERICHT LB180064 del 18 febbraio 2019</w:t>
      </w:r>
    </w:p>
    <w:p>
      <w:pPr>
        <w:pStyle w:val="Heading2"/>
      </w:pPr>
      <w:r>
        <w:t>Erwägungen</w:t>
      </w:r>
    </w:p>
    <w:p>
      <w:r>
        <w:rPr>
          <w:b/>
        </w:rPr>
        <w:t>E. 1</w:t>
      </w:r>
    </w:p>
    <w:p>
      <w:r>
        <w:t>Es seien die Nachlässe - des am tt.mm.1984 verstorbenen H._____, geb. tt. Januar 1902, von G._____, wohnhaft gewesen … [Adresse], Nachlass A, - der am tt.mm.1996 verstorbenen I._____, geb. tt. April 1906, von G._____, wohnhaft gewesen … [Adresse], Nachlass B, - und des am tt.mm.2016 verstorbenen J._____, geb. tt. Februar 1933, von G._____, wohnhaft gewesen … [Adresse], Nachlass C, festzustellen und - unter Berücksichtigung dokumentierter lebzeitiger Zuwen- dungen bzw. bereits erhaltener Abschlagszahlungen - zu teilen;</w:t>
      </w:r>
    </w:p>
    <w:p>
      <w:r>
        <w:rPr>
          <w:b/>
        </w:rPr>
        <w:t>E. 1.2</w:t>
      </w:r>
    </w:p>
    <w:p>
      <w:r>
        <w:t>Die Schlichtungsverhandlung fand am 24. Januar 2018 statt. In dieser aner- kannte die Beklagte und heutige Berufungsklägerin (fortan: die Beklagte) die Rechtsbegehren 1 und 2 und schlossen die Parteien einen Vergleich, zu dem vom Friedensrichter festgehalten wurde, er gelte, sofern er nicht von einer Partei bis zum 15. Februar 2018 "zurückgezogen" werde (vgl. act. 6/12/2 S. 2). Mit Ver- fügung vom gleichen Tag schrieb der Friedensrichter das Schlichtungsverfahren</w:t>
      </w:r>
    </w:p>
    <w:p>
      <w:r>
        <w:t>- 3 - als durch Vergleich erledigt ab, setzte die Kosten mit Fr. 400.- fest und auferlegte sie dem Nachlass (vgl. a.a.O.). Die Verfügung wurde den Parteien zugestellt. Unbestrittenermassen wurde die Widerrufsfrist für den Vergleich in der Folge bis zum 22. Februar 2018 verlängert und widerriefen die Kläger den Vergleich in- nert Frist (vgl. auch act. 6/1 S. 2), und zwar sowohl gegenüber dem Friedensrich- ter als auch gegenüber der Beklagten (vgl. act. 6/16/2). Am 1. März 2018 ver- sandte der Friedensrichter eine ebenfalls auf den 24. Januar 2018 datierte Klage- bewilligung an die Kläger (vgl. act. 6/1 S. 3). In der Klagebewilligung führte er ne- ben dem vorhin vermerkten Rechtsbegehren u.a. aus, die klägerische Partei habe den Vergleich widerrufen und die Schlichtung sei gescheitert (vgl. a.a.O., S. 2). Die Kosten setzte der Friedensrichter auf nunmehr Fr. 600.- fest und bezog sie von den Klägern. Als erstellt gelten darf schliesslich, dass die Parteien noch Monate nach dem 22. Februar 2018 über den Erbteilungsvertrag verhandelten (vgl. act. 2 S. 7). 2. - 2.1 Zusammen mit einem Schriftsatz vom 12. Juni 2018 (vgl. act. 6/2) reichten die Kläger die Klagebewilligung (act. 6/1) beim Bezirksgericht Bülach ein und lies- sen zugleich folgendes Rechtsbegehren stellen (vgl. act. 6/2 S. 2 ff.): 1. Es seien die Nachlässe - des am tt.mm.1984 verstorbenen H._____, geb. tt. Januar 1902, von G._____, wohnhaft gewesen … [Adresse], Nachlass A, - der am tt.mm.1996 verstorbenen I._____, geb. tt. April 1906, von G._____, wohnhaft gewesen … [Adresse], Nachlass B, - und des am tt.mm.2016 verstorbenen J._____, geb. tt. Februar 1933, von G._____, wohnhaft gewesen … [Adresse], Nachlass C, festzustellen und - unter Berücksichtigung dokumentierter lebzeitiger Zuwen- dungen bzw. bereits erhaltener Abschlagszahlungen - zu teilen; 2. dabei sei festzustellen, dass die Kläger 1 - 5 an den drei Nachlässen mit je 1/6 beteiligt sind, die Beklagte mit je 1/6 an den Nachlässen A und B sowie mit - unter Berücksichtigung des bereits ausbezahlten Anteils des ausgeschiedenen K._____ - 1/12 am Nachlass C;</w:t>
      </w:r>
    </w:p>
    <w:p>
      <w:r>
        <w:rPr>
          <w:b/>
        </w:rPr>
        <w:t>E. 2</w:t>
      </w:r>
    </w:p>
    <w:p>
      <w:r>
        <w:t>dabei sei festzustellen, dass die Kläger 1 - 5 an den drei Nachlässen mit je 1/6 beteiligt sind, die Beklagte mit je 1/6 an den Nachlässen A und B sowie mit - unter Berücksichtigung des bereits ausbezahlten Anteils des ausgeschiedenen K._____ - 1/12 am Nachlass C;</w:t>
      </w:r>
    </w:p>
    <w:p>
      <w:r>
        <w:rPr>
          <w:b/>
        </w:rPr>
        <w:t>E. 2.2</w:t>
      </w:r>
    </w:p>
    <w:p>
      <w:r>
        <w:t>Mit Verfügung vom 20. August 2018 nahm das Bezirksgericht der Beklagten die Frist zur Klageantwort ab und setzte den Klägern Frist an, um zur Frage der Gültigkeit der Klagebewilligung sowie zum Nichteintretensantrag der Beklagten</w:t>
      </w:r>
    </w:p>
    <w:p>
      <w:r>
        <w:t>- 5 - Stellung zu nehmen (vgl. act. 6/13). Die Kläger nahmen am 3. September 2018 Stellung (act. 6/15) und beantragten im Wesentlichen, es sei der Nichteintretens- antrag der Beklagten abzuweisen und demgemäss auf die Klage einzutreten (vgl. a.a.O., S. 7 f.). Die Beklagte beanspruchte daraufhin das sog. allgemeine Replik- recht mit einer Eingabe vom 17. September 2018 (vgl. act. 6/18). Die Kläger nahmen das allgemeine Replikrecht ebenfalls in Anspruch (vgl. act. 6/21), was die Beklagte ihrerseits zum Anlass nahm, sich mit einer weiteren Eingabe vom</w:t>
      </w:r>
    </w:p>
    <w:p>
      <w:r>
        <w:rPr>
          <w:b/>
        </w:rPr>
        <w:t>E. 3</w:t>
      </w:r>
    </w:p>
    <w:p>
      <w:r>
        <w:t>es sei überdies festzustellen, dass die Nachlassaktiven bestehen aus den drei landwirtschaftlichen Grundstücken a) 22040 m2 in der Gemeinde G._____, GB-Blatt 1, Kat.-Nr. 2, b) 30067 m2 in der Gemeinde L._____, GB-Blatt 3, Kat.-Nr. 4,</w:t>
      </w:r>
    </w:p>
    <w:p>
      <w:r>
        <w:t>- 4 - c) 38716 m2 in der Gemeinde L._____, GB-Blatt 5, Kat.-Nr. 6 sowie aus dem Saldo des Nachlasskonto bei der M._____ [Bank] N._____ [Ort] mit der Nummer 1, lautend auf "I._____ (gest.)", (Saldo per 1.2.2018 CHF 68'552.10), und dass zudem noch eine Nachlassschuld von CHF 9'000 gegen- über dem Kläger 4, E._____ besteht;</w:t>
      </w:r>
    </w:p>
    <w:p>
      <w:r>
        <w:rPr>
          <w:b/>
        </w:rPr>
        <w:t>E. 4</w:t>
      </w:r>
    </w:p>
    <w:p>
      <w:r>
        <w:t>bei der Teilung sei zu berücksichtigen, dass a) die Klägerin 5, F._____, im Sinne einer Abschlagszahlung bereits einen Wert von CHF 51'500 erhalten hat (partielle Erbteilung 1989) b) die Klägerin 2, C._____, im Sinne einer Abschlagszahlung bereits einen Wert von CHF 59'600 erhalten hat (partielle Erbteilung 1989) c) die vorverstorbene Mutter der Beklagten 2011 bereits eine Abschlagszah- lung von CHF 30'000 erhalten hat, was bei der Beklagten anzurechnen ist d) die lebzeitige Zuwendung an den Kläger 3, D._____, im Wert von CHF 59'840 der Ausgleichung nach Art. 626 ZGB unterworfen und beim Klä- ger 3 zu berücksichtigen ist;</w:t>
      </w:r>
    </w:p>
    <w:p>
      <w:r>
        <w:rPr>
          <w:b/>
        </w:rPr>
        <w:t>E. 5</w:t>
      </w:r>
    </w:p>
    <w:p>
      <w:r>
        <w:t>es sei vorzumerken, dass die Kläger 3, D._____, und 4, E._____ bereit sind, die Nachlassgrundstücke oben 3. a) (Kläger 3) bzw. oben 3. b) (Kläger 4) zu den gleichen Konditionen wie ein Drittkäufer und unter Anrechnung an ihr Erb- betreffnis bzw. unter Einschliessung des Mehrwerts real zu übernehmen;</w:t>
      </w:r>
    </w:p>
    <w:p>
      <w:r>
        <w:rPr>
          <w:b/>
        </w:rPr>
        <w:t>E. 6</w:t>
      </w:r>
    </w:p>
    <w:p>
      <w:r>
        <w:t>unter Kosten- und Entschädigungsfolgen zu Lasten der Beklagten unter gleich- zeitiger Erstattung der Friedensrichterkosten von CHF 600, die Entschädigung zuzüglich der MwSt. zum dannzumaligen Satz, derzeit zu 7,7%. Die Kläger liessen zudem prozessuale Anträge stellen (vgl. act. 6/2 S. 4). Das Bezirksgericht holte einen Kostenvorschuss ein (vgl. act. 6/5, act. 6/7) und setzte danach der Beklagten Frist an, um die Klage schriftlich zu beantworten (vgl. act. 6/8). Die Beklagte beantragte mit Schriftsatz vom 16. August 2018 im Wesentlichen, das Verfahren auf die vorfrageweise zu klärende Frage der Gültig- keit der Klagebewilligung als Prozessvoraussetzung zu beschränken (vgl. act. 6/11 S. 1). An einer Prozessvoraussetzung fehle es, so die Beklagte weiter, nämlich für sämtliche dem Bezirksgericht gestellten Rechtsbegehren, weshalb sie auch beantrage, es sei auf die Klage unter Kosten- und Entschädigungsfolgen zu Lasten der Kläger nicht einzutreten (vgl. a.a.O., S. 3).</w:t>
      </w:r>
    </w:p>
    <w:p>
      <w:r>
        <w:rPr>
          <w:b/>
        </w:rPr>
        <w:t>E. 11</w:t>
      </w:r>
    </w:p>
    <w:p>
      <w:r>
        <w:t>Oktober 2018 (act. 6/23) nochmals unaufgefordert zu äussern. Am 17. Oktober 2018 traf das Bezirksgericht gestützt auf Art. 237 Abs. 1 ZPO den folgenden Beschluss (vgl. act. 5 [= act. 6/24 = act. 4/1],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