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LB180056 vom 5. November 2019</w:t>
      </w:r>
    </w:p>
    <w:p>
      <w:r>
        <w:t>ZH Obergericht, 2019-11-05, DE</w:t>
      </w:r>
    </w:p>
    <w:p>
      <w:r>
        <w:rPr>
          <w:b/>
        </w:rPr>
        <w:t xml:space="preserve">Quelle: </w:t>
      </w:r>
      <w:r>
        <w:t>https://mcp.opencaselaw.ch/entscheid/zh_obergericht_LB180056</w:t>
      </w:r>
    </w:p>
    <w:p>
      <w:r>
        <w:t>FR: ZH_OBERGERICHT LB180056 du 5 novembre 2019</w:t>
      </w:r>
    </w:p>
    <w:p>
      <w:r>
        <w:t>IT: ZH_OBERGERICHT LB180056 del 5 novembre 2019</w:t>
      </w:r>
    </w:p>
    <w:p>
      <w:pPr>
        <w:pStyle w:val="Heading2"/>
      </w:pPr>
      <w:r>
        <w:t>Erwägungen</w:t>
      </w:r>
    </w:p>
    <w:p>
      <w:r>
        <w:rPr>
          <w:b/>
        </w:rPr>
        <w:t>E. 1</w:t>
      </w:r>
    </w:p>
    <w:p>
      <w:r>
        <w:t>Allgemeines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138 III 374 E. 4.3.1). Die Berufungsinstanz hat sich – abgesehen von offensichtlichen Mängeln – grundsätzlich auf die Beurteilung der Beanstandungen zu beschrän- ken, die in der Berufungsschrift in rechtsgenügender Weise erhoben werden (vgl. BGE 142 III 413 E. 2.2.4). In diesem Rahmen ist insoweit auf die Parteivorbringen einzugehen, als dies für die Entscheidfindung erforderlich ist (vgl. BGE 134 I 83 E. 4.1). Im Berufungsverfahren sind neue Vorbringen grundsätzlich nur noch unter den Voraussetzungen von Art. 317 Abs. 1 ZPO zulässig.</w:t>
      </w:r>
    </w:p>
    <w:p>
      <w:r>
        <w:rPr>
          <w:b/>
        </w:rPr>
        <w:t>E. 2</w:t>
      </w:r>
    </w:p>
    <w:p>
      <w:r>
        <w:t>Die zweitinstanzliche Entscheidgebühr wird auf Fr. 2'200.– festgesetzt.</w:t>
      </w:r>
    </w:p>
    <w:p>
      <w:r>
        <w:rPr>
          <w:b/>
        </w:rPr>
        <w:t>E. 3</w:t>
      </w:r>
    </w:p>
    <w:p>
      <w:r>
        <w:t>Der Entscheid über eine allfällige Parteientschädigung im Berufungsverfah- ren und die Verteilung der Prozesskosten des Berufungsverfahrens wird dem neuen Entscheid der Vorinstanz vorbehalten.</w:t>
      </w:r>
    </w:p>
    <w:p>
      <w:r>
        <w:rPr>
          <w:b/>
        </w:rPr>
        <w:t>E. 4</w:t>
      </w:r>
    </w:p>
    <w:p>
      <w:r>
        <w:t>Es wird vorgemerkt, dass die Klägerin für die Gerichtskosten des Beru- fungsverfahrens einen Kostenvorschuss von Fr. 4'500.– geleistet hat.</w:t>
      </w:r>
    </w:p>
    <w:p>
      <w:r>
        <w:rPr>
          <w:b/>
        </w:rPr>
        <w:t>E. 5</w:t>
      </w:r>
    </w:p>
    <w:p>
      <w:r>
        <w:t>Schriftliche Mitteilung an die Parteien und an die Vorinstanz, je gegen Emp- fangsschein.</w:t>
      </w:r>
    </w:p>
    <w:p>
      <w:r>
        <w:rPr>
          <w:b/>
        </w:rPr>
        <w:t>E. 6</w:t>
      </w:r>
    </w:p>
    <w:p>
      <w:r>
        <w:t>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- 11 - Art. 113 ff. (subsidiäre Verfassungsbeschwerde) in Verbindung mit Art. 42 des Bundesgesetzes über das Bundesgericht (BGG). Dies ist ein Zwischenentscheid im Sinne von Art. 93 BGG. Es handelt sich um eine vermögensrechtliche Angelegenheit. Der Streitwert beträgt Fr. 36'695.20. Die Beschwerde an das Bundesgericht hat keine aufschiebende Wirkung. Hinsichtlich des Fristenlaufs gelten die Art. 44 ff. BGG, Zürich, 5. November 2019 Obergericht des Kantons Zürich I. Zivilkammer Die Gerichtsschreiberin: lic. iur. L. Stünzi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