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LB180037 vom 20. September 2019</w:t>
      </w:r>
    </w:p>
    <w:p>
      <w:r>
        <w:t>ZH Obergericht, 2019-09-20, DE</w:t>
      </w:r>
    </w:p>
    <w:p>
      <w:r>
        <w:rPr>
          <w:b/>
        </w:rPr>
        <w:t xml:space="preserve">Quelle: </w:t>
      </w:r>
      <w:r>
        <w:t>https://mcp.opencaselaw.ch/entscheid/zh_obergericht_LB180037</w:t>
      </w:r>
    </w:p>
    <w:p>
      <w:r>
        <w:t>FR: ZH_OBERGERICHT LB180037 du 20 septembre 2019</w:t>
      </w:r>
    </w:p>
    <w:p>
      <w:r>
        <w:t>IT: ZH_OBERGERICHT LB180037 del 20 settembre 2019</w:t>
      </w:r>
    </w:p>
    <w:p>
      <w:pPr>
        <w:pStyle w:val="Heading2"/>
      </w:pPr>
      <w:r>
        <w:t>Erwägungen</w:t>
      </w:r>
    </w:p>
    <w:p>
      <w:r>
        <w:rPr>
          <w:b/>
        </w:rPr>
        <w:t>E. 1</w:t>
      </w:r>
    </w:p>
    <w:p>
      <w:r>
        <w:t>Gemäss seiner Sachdarstellung erlitt der Kläger am 24. September 2001 als Lenker eines Personenwagens und am 15. August 2006 als Lenker eines Mo- torrades je einen Verkehrsunfall. Bei beiden Unfällen wurde er gemäss seiner Darstellung jeweils verletzt. Keiner der beiden Verkehrsunfälle fand im Kanton Zürich statt. Der erste Unfall ereignete sich in Brügg/BE (Urk. 5/2) und der zweite in Biel/BE (Urk. 5/8). Bei der Beklagten 1 (C._____ AG mit Sitz in D._____) han- delt es sich um die Motorfahrzeughaftpflichtversicherung der anderen am Unfall beteiligten Fahrzeuge des ersten Unfalls und bei der Beklagten 2 (B._____ AG mit Sitz in E._____) um die Motorfahrzeughaftpflichtversicherung des am zweiten Unfall beteiligten Autolenkers. Der Kläger fordert mit seiner (Teil)klage im Haupt- standpunkt, dass die Beklagten 1 und 2 solidarisch (eventualiter die Beklagte 1 oder subeventualiter die Beklagte 2) zu verpflichten seien, ihm den zwischen dem 15. August 2006 und 31. Dezember 2016 infolge der zwei erlittenen Verkehrsun- fälle entstandenen Erwerbsschaden im Teilbetrag von Fr. 100'000.-- zu ersetzen.</w:t>
      </w:r>
    </w:p>
    <w:p>
      <w:r>
        <w:rPr>
          <w:b/>
        </w:rPr>
        <w:t>E. 2</w:t>
      </w:r>
    </w:p>
    <w:p>
      <w:r>
        <w:t>Mit Beschluss vom 2. Augst 2018 trat die Vorinstanz auf die Klage gegen die Beklagte 2 mangels örtlicher Zuständigkeit nicht ein (Urk. 30). Hiegegen erhob der Kläger fristgemäss Berufung und stellte die eingangs wiedergegebenen An- träge (Urk. 29). Der ihm auferlegte Kostenvorschuss von Fr. 5'000.-- (Urk. 32) wurde am 13. September 2018 rechtzeitig geleistet (Urk. 34). Mit Verfügung vom</w:t>
      </w:r>
    </w:p>
    <w:p>
      <w:r>
        <w:rPr>
          <w:b/>
        </w:rPr>
        <w:t>E. 5</w:t>
      </w:r>
    </w:p>
    <w:p>
      <w:r>
        <w:t>Schriftliche Mitteilung an die Parteien sowie an die Vorinstanz, je gegen Empfangsschein.</w:t>
      </w:r>
    </w:p>
    <w:p>
      <w:r>
        <w:t>- 13 -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 Die Beschwerde an das Bundesgericht hat keine aufschiebende Wirkung. Hinsichtlich des Fristenlaufs gelten die Art. 44 ff. BGG. Zürich, 20. September 2019 Obergericht des Kantons Zürich I. Zivilkammer Die Vorsitzende: Die Gerichtsschreiberin: Dr. L. Hunziker Schnider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