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LB170051 vom 5. März 2018</w:t>
      </w:r>
    </w:p>
    <w:p>
      <w:r>
        <w:t>ZH Obergericht, 2018-03-05, DE</w:t>
      </w:r>
    </w:p>
    <w:p>
      <w:r>
        <w:rPr>
          <w:b/>
        </w:rPr>
        <w:t xml:space="preserve">Quelle: </w:t>
      </w:r>
      <w:r>
        <w:t>https://mcp.opencaselaw.ch/entscheid/zh_obergericht_LB170051</w:t>
      </w:r>
    </w:p>
    <w:p>
      <w:r>
        <w:t>FR: ZH_OBERGERICHT LB170051 du 5 mars 2018</w:t>
      </w:r>
    </w:p>
    <w:p>
      <w:r>
        <w:t>IT: ZH_OBERGERICHT LB170051 del 5 marzo 2018</w:t>
      </w:r>
    </w:p>
    <w:p>
      <w:pPr>
        <w:pStyle w:val="Heading2"/>
      </w:pPr>
      <w:r>
        <w:t>Erwägungen</w:t>
      </w:r>
    </w:p>
    <w:p>
      <w:r>
        <w:rPr>
          <w:b/>
        </w:rPr>
        <w:t>E. 3</w:t>
      </w:r>
    </w:p>
    <w:p>
      <w:r>
        <w:t>a) Gemäss Art. 552 Abs. 1 OR ist die Kollektivgesellschaft eine Gesell- schaft, in der zwei oder mehrere natürliche Personen ohne Beschränkung ihrer Haftung gegenüber den Gesellschaftsgläubigern sich zum Zwecke vereinigen, un- ter einer gemeinsamen Firma ein Handels-, ein Fabrikations- oder ein anderes nach kaufmännischer Art geführtes Gewerbe zu betreiben. Die Kollektivgesell- schaft bedarf zu ihrer Entstehung zwingend eines Gesellschaftsvertrags, wobei dessen Abschluss grundsätzlich formfrei erfolgen kann. Etwas anderes gilt nur dann, wenn ein Gesellschafter darin eine formbedürftige Verpflichtung übernimmt. Der Gesellschaftsvertrag kann auch durch konkludentes Verhalten abgeschlossen</w:t>
      </w:r>
    </w:p>
    <w:p>
      <w:r>
        <w:t>- 8 - werden. Den Vertragspartnern muss nicht bewusst sein, dass ein Gesellschafts- vertrag abgeschlossen wird. „Eines eigentlichen Parteiwillens über die Gründung einer Kollektivgesellschaft bedarf es nicht.“ (Siffert, in: Stämpflis Handkommentar, Hrsg. Schütz, Personengesellschaftsrecht, N 6 zu Art. 552 OR). Der Gesell- schaftsvertrag muss die Einigung sämtlicher Beteiligten über die essentialia nego- tii enthalten, wozu der zu verfolgende Gesellschaftszweck und die Firma gehören (BSK OR II-Baudenbacher, Art. 552 N 12, 13 und 15, m.w.H.). Da die Vertragspartner nicht bewusst einen Gesellschaftsvertrag zur Grün- dung einer Kollektivgesellschaft abschliessen müssen, gehen die diesbezüglichen Erwägungen der Vorinstanz, wonach davon auszugehen sei, die Partner der An- waltskanzlei hätten keinen Willen zur Bildung einer Kollektivgesellschaft gehabt, ins Leere. Ohnehin belegt aber der von der Klägerin ins Recht gelegte Vermö- gensübernahmevertrag zwischen der … A._____ und A._____ B._____ vom 31. Dezember 2012, dass letztere diesen Vertrag ausdrücklich als Kollektivgesell- schaft abschloss (Urk. 27/5). Der Klägerin ist beizupflichten, dass sie im Rahmen ihrer Eingabe vom 15. Juni 2017 keine Veranlassung hatte, diesen Vertrag einzu- reichen, war doch ihre Rechtsform von den Beklagten damals (und auch nicht zu einem späteren Zeitpunkt) in Frage gestellt worden. Darüber hinaus hatte die Klä- gerin auch keinen Anlass, auf die Gesellschaftsgründung im Detail einzugehen. Bei Urkunde 27/5 handelt es sich daher um ein zulässiges Novum im Sinne von Art. 317 Abs. 1 ZPO. Fest steht nunmehr, dass unter der Firma „A._____ B._____“ resp. „A._____ B._____, Marken-, Patent- und Rechtsanwälte“ eine Kol- lektivgesellschaft besteht, deren Zweck die Erbringung anwaltlicher Dienstleistun- gen ist. Auch über die Gesellschafter hatte sich die Klägerin bereits vor Vo- rinstanz hinreichend geäussert, als sie (die) drei namentlich aufführte (Urk. 11 S. 2). b) Die Klägerin betreibt ein nach kaufmännischer Art geführtes Gewerbe. Sie muss sich ins Handelsregister eintragen lassen, doch handelt es sich dabei ledig- lich um eine Ordnungsvorschrift. Der Eintrag hat deklaratorischen und nicht kon- stitutiven Charakter. Das Entstehen der Gesellschaft beruht einzig auf dem ent- sprechenden Gesellschaftsvertrag (Druey/Druey Just/Glanzmann, Gesellschafts-</w:t>
      </w:r>
    </w:p>
    <w:p>
      <w:r>
        <w:t>- 9 - und Handelsrecht, 11. A., Zürich 2015, § 5 N 3; BSK OR II-Baudenbacher, Art. 552 N 40). Auch wenn davon ausgegangen werden kann, dass den Gesell- schaftern der Klägerin als Juristen die Eintragungspflicht bekannt war, kann ihnen nicht unterstellt werden, sie hätten entgegen dem von der Klägerin eingenomme- nen und dokumentierten Prozessstandpunkt keinen entsprechenden Bindungswil- len gehabt. c) Die Vorinstanz erachtet die Firma der Klägerin als nicht (mehr) gesetzes- konform, was diese nicht rügt (Urk. 23 S. 13). Ob dies tatsächlich der Fall ist, kann letztlich offenbleiben. Laut Botschaft zur Änderung des Obligationenrechts (Firmenrecht) vom 19. November 2014 wird für bereits bestehende Kollektiv-, Kommandit- und Kommanditaktiengesellschaften keine Pflicht geschaffen, die Firma an das neue Recht anzupassen und mit der Rechtsformangabe zu ergän- zen. Erfolgt keine Anpassung an das neue Recht, kann die bisherige Firma un- verändert fortgeführt werden, allerdings nur so lange, als die in der Firma mit Na- men aufgeführten Personen unbeschränkt haftende Gesellschafterinnen oder Ge- sellschafter sind (BBl 2014 S. 2321). Dies trifft vorliegend zu. Schon nach bisheri- gem Recht bestand im Interesse des Rechtsverkehrs jedenfalls dann eine Kollek- tivgesellschaft, wenn die Firma zwar nicht den gesetzlichen Anforderungen ent- sprach, aber nicht einen falschen Eindruck über die Haftung begründete (BSK OR II-Baudenbacher, Art. 552 N 37; ZK-Siegwart, N 6 zu Art. 552 OR; BGE 73 I 311, E. 2). d) Unerheblich ist schliesslich, dass neben der Klägerin eine Aktiengesell- schaft, die A._____ B._____ AG, existiert, welche die Aufgaben der Klägerin ebenfalls übernehme könnte. Wie diese zu Recht ausführt, ist es zulässig, dass die Gesellschafter der Kollektivgesellschaft gleichzeitig Verwaltungsratsmitglieder einer Aktiengesellschaft sind, welche eine ähnliche Firma und den Sitz an der gleichen Adresse wie die Kollektivgesellschaft hat (Urk. 23 S. 10). Unbestritten ist, dass die Aktiengesellschaft A._____ B._____ AG gegenüber den Beklagten nie in Erscheinung getreten ist. Die Existenz der Aktiengesellschaft hinderte die Kläge- rin daher nicht daran, als Kollektivgesellschaft vertragliche Beziehungen zu den Beklagten zu knüpfen.</w:t>
      </w:r>
    </w:p>
    <w:p>
      <w:r>
        <w:t>- 10 - e) Die Vorinstanz hat demnach die Klägerin zu Unrecht als einfache Gesell- schaft und nicht als Kollektivgesellschaft qualifiziert. Diese ist partei- und prozess- fähig (Art. 562 OR; BSK OR II-Baudenbacher, Art. 552 N 3; Art. 59 Abs. 2 lit. c ZPO). Der vorinstanzliche Entscheid ist daher aufzuheben und die Sache zur Er- gänzung des Verfahrens und zu neuer Entscheidung an die Vorinstanz zurückzu- weisen. III. Die Klägerin obsiegt mit ihrer Berufung. Da die Beklagten die Parteifähigkeit der Klägerin nicht bestritten haben und sich mit dem angefochtenen Entscheid nicht identifiziert haben, sind die Kosten des Berufungsverfahrens auf die Staats- kasse zu nehmen (Art. 107 Abs. 2 ZPO). Eine Parteientschädigung ist mangels gesetzlicher Grundlage nicht geschuldet.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