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LB170047 vom 19. September 2018</w:t>
      </w:r>
    </w:p>
    <w:p>
      <w:r>
        <w:t>ZH Obergericht, 2018-09-19, DE</w:t>
      </w:r>
    </w:p>
    <w:p>
      <w:r>
        <w:rPr>
          <w:b/>
        </w:rPr>
        <w:t xml:space="preserve">Quelle: </w:t>
      </w:r>
      <w:r>
        <w:t>https://mcp.opencaselaw.ch/entscheid/zh_obergericht_LB170047</w:t>
      </w:r>
    </w:p>
    <w:p>
      <w:r>
        <w:t>FR: ZH_OBERGERICHT LB170047 du 19 septembre 2018</w:t>
      </w:r>
    </w:p>
    <w:p>
      <w:r>
        <w:t>IT: ZH_OBERGERICHT LB170047 del 19 settembre 2018</w:t>
      </w:r>
    </w:p>
    <w:p>
      <w:pPr>
        <w:pStyle w:val="Heading2"/>
      </w:pPr>
      <w:r>
        <w:t>Erwägungen</w:t>
      </w:r>
    </w:p>
    <w:p>
      <w:r>
        <w:rPr>
          <w:b/>
        </w:rPr>
        <w:t>E. 1</w:t>
      </w:r>
    </w:p>
    <w:p>
      <w:r>
        <w:t>Die strittige Forderung der Beklagten gegen den Kläger steht in Zusam- menhang mit einer Immobilientransaktion in Israel. Gegenstand derselben waren Liegenschaften in C._____, welche von den Schweizer Gesellschaften D._____ AG und E._____ AG verkauft wurden. Der Vater der Beklagten war durch ein treuhänderisches Investment am Verkaufserlös dieser Immobilientransaktion be- teiligt. Noch vor Abschluss der Immobilientransaktion wies der Vater der Beklag- ten ihr am 19. März 2014 schenkungsweise seine zukünftigen Erträge aus der D._____ AG zu. Die Beklagte wurde darüber mit Schreiben vom 3. Februar 2016 (Urk. 11/2), unterzeichnet vom Kläger für die D._____ AG, informiert. Gleich ver- fuhr der Vater der Beklagten mit dem Erlös der E._____ AG für die Schwester der Beklagten (Urk. 11/5). Nach dem Verkauf der Liegenschaft in C._____ erhielten die Beklagte und deren Schwester den der D._____ AG bzw. der E._____ AG zu-</w:t>
      </w:r>
    </w:p>
    <w:p>
      <w:r>
        <w:t>- 5 - stehenden (angeblichen) Erlös aus dieser Transaktion in der Höhe von je USD 10 Mio. Die Beklagte geht jedoch von einem wesentlich höheren Erlös aus, nämlich brutto ca. USD 37 Mio., weshalb noch ein Guthaben von rund USD 12 Mio. bestehe. Der Kläger soll im Rahmen seiner beruflichen Tätigkeit als Rechts- anwalt sowie als Willensvollstrecker des verstorbenen Vaters der Beklagten tätig gewesen sein. Zudem war er zeitweise Mitglied des Verwaltungsrats der D._____ AG sowie der E._____ AG (Urk. 2 S. 7 f.; Urk. 10 S. 3 ff.; Urk. 11/3+4). Nachdem die Beklagte mehrfach vergeblich versucht hatte, vom Kläger zweckdienliche In- formationen und Dokumente aus der Immobilientransaktion erhältlich zu machen (Urk. 11/8-20), leitete sie eine Betreibung über CHF 12 Mio. gegen den Kläger an dessen Wohnsitz in F._____ ein (Urk. 4/3), mit dem Forderungsgrund "Verjäh- rungsunterbrechung gemäss Art. 135 OR für Forderungen aus Ver- kauf/Abrechnung der Liegenschaften in C._____ sowie weitere Forderungen im Rahmen der durch den Schuldner aufgesetzten 'trust structure' ". Der Kläger bestreitet den Bestand der Forderung der Beklagten gegen ihn und reichte deshalb vorliegende negative Feststellungsklage ein (Urk. 2). Die Be- klagte wendet ein, dass kein Feststellungsinteresse vorliege, weshalb auf die ne- gative Feststellungsklage nicht einzutreten sei (Urk. 10).</w:t>
      </w:r>
    </w:p>
    <w:p>
      <w:r>
        <w:rPr>
          <w:b/>
        </w:rPr>
        <w:t>E. 2</w:t>
      </w:r>
    </w:p>
    <w:p>
      <w:r>
        <w:t>Die zweitinstanzliche Entscheidgebühr wird auf Fr. 22'000.-- festgesetzt.</w:t>
      </w:r>
    </w:p>
    <w:p>
      <w:r>
        <w:rPr>
          <w:b/>
        </w:rPr>
        <w:t>E. 3</w:t>
      </w:r>
    </w:p>
    <w:p>
      <w:r>
        <w:t>Die Gerichtskosten für das zweitinstanzliche Verfahren werden der Beklag- ten auferlegt und mit dem geleisteten Kostenvorschuss verrechnet. Die Be- klagte wird verpflichtet, dem Kläger den geleisteten Vorschuss von Fr. 22'000.-- zu ersetzen.</w:t>
      </w:r>
    </w:p>
    <w:p>
      <w:r>
        <w:rPr>
          <w:b/>
        </w:rPr>
        <w:t>E. 4</w:t>
      </w:r>
    </w:p>
    <w:p>
      <w:r>
        <w:t>Die Beklagte wird verpflichtet, dem Kläger für das zweitinstanzliche Verfah- ren eine Parteientschädigung von Fr. 25'000.-- zu bezahlen.</w:t>
      </w:r>
    </w:p>
    <w:p>
      <w:r>
        <w:rPr>
          <w:b/>
        </w:rPr>
        <w:t>E. 5</w:t>
      </w:r>
    </w:p>
    <w:p>
      <w:r>
        <w:t>Schriftliche Mitteilung an die Parteien, an die Beklagte unter Beilage des Doppels der Urk. 56, 57 und 58/1+2,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- 26 - Dies ist ein Zwischenentscheid im Sinne von Art. 93 BGG. Es handelt sich um eine vermögensrechtliche Angelegenheit. Der Streitwert beträgt Fr. 12 Mio. Die Beschwerde an das Bundesgericht hat keine aufschiebende Wirkung. Hinsichtlich des Fristenlaufs gelten die Art. 44 ff. BGG. Zürich, 19. September 2018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