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LB170044 vom 12. Oktober 2017</w:t>
      </w:r>
    </w:p>
    <w:p>
      <w:r>
        <w:t>ZH Obergericht, 2017-10-12, DE</w:t>
      </w:r>
    </w:p>
    <w:p>
      <w:r>
        <w:rPr>
          <w:b/>
        </w:rPr>
        <w:t xml:space="preserve">Quelle: </w:t>
      </w:r>
      <w:r>
        <w:t>https://mcp.opencaselaw.ch/entscheid/zh_obergericht_LB170044</w:t>
      </w:r>
    </w:p>
    <w:p>
      <w:r>
        <w:t>FR: ZH_OBERGERICHT LB170044 du 12 octobre 2017</w:t>
      </w:r>
    </w:p>
    <w:p>
      <w:r>
        <w:t>IT: ZH_OBERGERICHT LB170044 del 12 ottobre 2017</w:t>
      </w:r>
    </w:p>
    <w:p>
      <w:pPr>
        <w:pStyle w:val="Heading2"/>
      </w:pPr>
      <w:r>
        <w:t>Erwägungen</w:t>
      </w:r>
    </w:p>
    <w:p>
      <w:r>
        <w:rPr>
          <w:b/>
        </w:rPr>
        <w:t>E. 1</w:t>
      </w:r>
    </w:p>
    <w:p>
      <w:r>
        <w:t>Der Kläger hat mit Klage vom 25. Mai 2012 vom Beklagten die Bezahlung von Fr. 494‘053.90 nebst 5 % Zins seit 27. August 2011 gefordert (Urk. 3 S. 2). Das Bezirksgericht Zürich, 4. Abteilung, wies die Klage mit Urteil vom 1. Juni 2015 ab (Urk. 64). Mit Urteil vom 25. Februar 2016 verpflichtete die I. Zivilkammer des Obergerichts des Kantons Zürich den Beklagten, dem Kläger Fr. 294‘127.40 nebst 5 % Zins seit 27. August 2011 zu bezahlen. Im Mehrbetrag wurde die Klage abgewiesen (Urk. 77). Das Bundesgericht hob diesen Entscheid mit Urteil vom 13. Juni 2017 auf, wies die Klage ab und wies die Sache zur Neuverlegung der Kosten des kantonalen Verfahrens an das hiesige Gericht zurück (Urk. 81).</w:t>
      </w:r>
    </w:p>
    <w:p>
      <w:r>
        <w:rPr>
          <w:b/>
        </w:rPr>
        <w:t>E. 2</w:t>
      </w:r>
    </w:p>
    <w:p>
      <w:r>
        <w:t>Bei diesem Verfahrensausgang ist die erstinstanzliche Kosten- und Ent- schädigungsregelung zu bestätigen (Urk. 64 S. 48). Der Kläger wird auch für das Berufungsverfahren kosten- und entschädigungspflichtig. Die zweitinstanzliche Entscheidgebühr ist auf Fr. 20‘600.– festzusetzen (§ 12 Abs. 1 GebV OG). Die volle Parteientschädigung für das zweitinstanzliche Verfahren beträgt Fr. 12‘000.– zuzüglich 8 % Mehrwertsteuer (§ 13 Abs. 2 AnwGebV). Es resultiert eine Gesamt- entschädigung von Fr. 43‘130.–.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