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LB170024 vom 6. September 2017</w:t>
      </w:r>
    </w:p>
    <w:p>
      <w:r>
        <w:t>ZH Obergericht, 2017-09-06, DE</w:t>
      </w:r>
    </w:p>
    <w:p>
      <w:r>
        <w:rPr>
          <w:b/>
        </w:rPr>
        <w:t xml:space="preserve">Quelle: </w:t>
      </w:r>
      <w:r>
        <w:t>https://mcp.opencaselaw.ch/entscheid/zh_obergericht_LB170024</w:t>
      </w:r>
    </w:p>
    <w:p>
      <w:r>
        <w:t>FR: ZH_OBERGERICHT LB170024 du 6 septembre 2017</w:t>
      </w:r>
    </w:p>
    <w:p>
      <w:r>
        <w:t>IT: ZH_OBERGERICHT LB170024 del 6 settembre 2017</w:t>
      </w:r>
    </w:p>
    <w:p>
      <w:pPr>
        <w:pStyle w:val="Heading2"/>
      </w:pPr>
      <w:r>
        <w:t>Erwägungen</w:t>
      </w:r>
    </w:p>
    <w:p>
      <w:r>
        <w:rPr>
          <w:b/>
        </w:rPr>
        <w:t>E. 1</w:t>
      </w:r>
    </w:p>
    <w:p>
      <w:r>
        <w:t>Die B1._____ Switzerland SA, die seither von der B._____ AG (Klägerin, Berufungsbeklagte und Anschlussberufungsklägerin, fortan Klägerin) durch Fusi- on übernommen wurde, erwarb im Jahr 2000 sämtliche Aktien der C._____ Grup- pe (bestehend aus fünf Gesellschaften unter einem Holdingdach) von den beiden Eigentümern A._____ (Beklagter 1, Berufungskläger und Anschlussberufungsbe- klagter, fortan Beklagter 1) und D._____ (Beklagter 2). Der Kaufpreis bestand aus einer festen und einer variablen Komponente, die von den zukünftigen Geschäftsergebnissen abhängig war. Die Klägerin behauptet, die Beklagten, die nach dem Verkauf bis zu ihrer fristlosen Entlassung im Februar 2004 weiterhin als Geschäftsleiter und Verwaltungsräte für die C._____ Gruppe</w:t>
      </w:r>
    </w:p>
    <w:p>
      <w:r>
        <w:t>- 4 - tätig waren, hätten das Geschäftsergebnis manipuliert, um eine höhere Vergütung zu erhalten. Mit dieser Klage verlangt sie die Rückzahlung des variablen Teils des Kaufpreises, der auf diesen Manipulationen beruhe.</w:t>
      </w:r>
    </w:p>
    <w:p>
      <w:r>
        <w:rPr>
          <w:b/>
        </w:rPr>
        <w:t>E. 2</w:t>
      </w:r>
    </w:p>
    <w:p>
      <w:r>
        <w:t>Mit Einreichung der Weisung vom 29. Juli 2008 und der Klageschrift vom 20. November 2008 machte die Klägerin am 24. November 2008 beim Bezirksge- richt Zürich die Klage anhängig. Nachdem der Beklagte 1 die Einrede der örtli- chen Unzuständigkeit erhob, trat das Bezirksgericht mit Beschluss vom 4. Juni 2009 auf die Klage nicht ein. Auf Rekurs der Klägerin hob das Obergericht diesen Entscheid auf und wies das Verfahren zur Fortsetzung an das Bezirksgericht zu- rück. Nach Durchführung des doppelten Schriftenwechsels reichten die Klägerin und der Beklagte 2 einen Vergleich ein, worauf der Prozess mit Beschluss vom 9. Februar 2011 in Bezug auf den Beklagten 2 als durch Vergleich erledigt abge- schrieben wurde. Mit Bezug auf den Beklagen 1 wurde am 14. Mai 2012 der Beweisauflagebe- schluss erlassen. Mit Beschluss vom 31. Januar 2013 wurde eine gegen den Be- klagten 1 gerichtete Verantwortlichkeitsklage vom vorliegenden Verfahren abge- trennt und selbständig weitergeführt. Im Rahmen des Beweisverfahrens wurde ein Schriftgutachten eingeholt und verschiedene Zeugen wurden teilweise durch das Gericht, teilweise auf dem Weg der Rechtshilfe einvernommen. Am 17. Dezember 2014 fällte das Bezirksgericht das eingangs genannte Urteil und hiess die Klage teilweise gut. Für eine ausführlichere Darstellung der vorinstanzlichen Prozessge- schichte wird auf das angefochtene Urteil verwiesen (act. 341 S. 3 ff.).</w:t>
      </w:r>
    </w:p>
    <w:p>
      <w:r>
        <w:rPr>
          <w:b/>
        </w:rPr>
        <w:t>E. 3</w:t>
      </w:r>
    </w:p>
    <w:p>
      <w:r>
        <w:t>Mit Eingabe vom 10. Februar 2015 (act. 339) erhob der Beklagte 1 rechtzei- tig Berufung gegen das vorinstanzliche Urteil vom 17. Dezember 2014 (act. 341), das ihm am 12. Januar 2015 zugestellt worden war (act. 336). Mit Verfügung vom 17. Februar 2015 wurde ihm Frist angesetzt, um einen Kostenvorschuss in der Höhe von Fr. 60'000.00 zu leisten (act. 342). Diesen leistete er fristgerecht (act. 344). Mit Verfügung vom 9. März 2015 wurde der Klägerin Frist zur Beru- fungsantwort angesetzt (act. 345).</w:t>
      </w:r>
    </w:p>
    <w:p>
      <w:r>
        <w:t>- 5 - Mit Eingabe vom 13. April 2015 beantragte die Klägerin in prozessualer Hinsicht die Verpflichtung des Berufungsklägers zur Leistung einer Sicherheit für ihre Par- teientschädigung sowie die Abnahme der Frist zur Einreichung der Berufungsan- twort (act. 347). Dieser Antrag wurde mit Verfügung vom 14. April 2015 abgewie- sen (act. 349). Dagegen wandte sich die Klägerin am 21. April 2015 mit Be- schwerde an das Bundesgericht (act. 359) und am 22. April 2015 mit einem Wie- dererwägungsgesuch an die Kammer (act. 354). Auf Anweisung des Bundesge- richts sistierte die Kammer mit Beschluss vom 27. April 2015 das Berufungsver- fahren. Nachdem das Bundesgericht die Beschwerde mit Urteil vom 21. Dezem- ber 2015 abgewiesen hatte (act. 369), wurde die Sistierung mit Beschluss vom 19. Januar 2016 aufgehoben (act. 370). Mit Eingabe vom 20. Januar 2016 beantwortete die Klägerin die Berufung und er- hob Anschlussberufung (act. 372). Mit Verfügung vom 26. Januar 2016 wurde der Klägerin Frist zur Leistung eines Vorschusses von Fr. 17'400.00 zur Sicherstel- lung der Gerichtskosten angesetzt (act. 373). Mit Beschluss vom 8. Februar 2016 wurde dem Beklagten 1 eine Frist angesetzt, um für eine allfällige Parteientschä- digung einen Vorschuss von Fr. 80'449.00 zu leisten (act. 375). Beide Vorschüsse wurden rechtzeitig geleistet. Die Anschlussberufungsantwort des Beklagten 1 vom 15. April 2015 (recte 2016) (act. 381) wurde der Klägerin zugestellt (act. 382 und act. 383), ohne dass sie sich dazu vernehmen liess. Mit Urteil vom 22. Juli 2016 hiess die Kammer die Berufung gut, hob das Urteil des Bezirksgerichts vom 17. Dezember 2014 auf und wies die Klage ab (act. 384 = act. 397).</w:t>
      </w:r>
    </w:p>
    <w:p>
      <w:r>
        <w:rPr>
          <w:b/>
        </w:rPr>
        <w:t>E. 4</w:t>
      </w:r>
    </w:p>
    <w:p>
      <w:r>
        <w:t>Auf Beschwerde der Klägerin vom 14. September 2016 (act. 387) hob das Bundesgericht mit Urteil vom 6. März 2017 (act. 398) das Urteil der Kammer vom 22. Juli 2016 auf und wies die Sache zu neuer Beurteilung an das Obergericht zu- rück.</w:t>
      </w:r>
    </w:p>
    <w:p>
      <w:r>
        <w:rPr>
          <w:b/>
        </w:rPr>
        <w:t>E. 5</w:t>
      </w:r>
    </w:p>
    <w:p>
      <w:r>
        <w:t>Die Revisionsgesellschaft E._____ AG schloss am 23. November 2004 mit der C._____ Holding AG eine Vereinbarung, in der sie ausstehende Honoraran- sprüche von CHF 474'000.00 auf CHF 138'000.00 reduzierte und damit im Um- fang von CHF 336'000.00 auf ihr Honorar verzichtete (act. 130/27). Das qualifi- zierte die Vorinstanz als Schadenersatzleistung, die sie an den vom Beklagten 1 zu ersetzenden Schaden anrechnete (act. 341 S. 62). a) Mit der Anschlussberufung macht die Klägerin geltend, die Honorarforde- rung der E._____ AG habe nichts mit den zu viel bezahlten Earn-out-Zahlungen zu tun und sei damit keine Schadensposition. Die Klägerin habe im vorinstanzli- chen Verfahren ausgeführt, dass E._____ von den Beklagten ebenfalls getäuscht worden sei. Für eine solidarische Haftung bestünden deshalb keine Anhaltspunk- te. Der Verzicht der E._____ AG auf einen Teil des Honorars stelle daher keine Leistung an den Schaden dar und sei nicht an den von der Klägerin gegen den Beklagten 1 geltend gemachten Schadenersatzanspruch anzurechnen (act. 372 S. 7 f.). b) Der Beklagte 1 wirft der Klägerin in der Anschlussberufungsantwort vor, in- dem sie die von der E._____ AG erstellten Unterlagen nicht eingereicht habe, ha- be sie ihre Mitwirkungspflicht verletzt. Durch Einreichen des Vergleichs im Rah- men der Antretung der Gegenbeweise habe sie anerkannt, dass ein Vergleich mit E._____ gemacht worden sei, der im Zusammenhang mit den behaupteten Unre- gelmässigkeiten bei der C._____ Gruppe stehe. Die Klägerin könne ihre Ansprü- che nicht kumulieren. Ohne Anrechnung der Honorarreduktion wäre sie berei- chert. Sie müsse daher die Honorarreduktion vom geltend gemachten Schaden in Abzug bringen. Er wisse ausserdem, dass die Klägerin nicht nur auf ihr Honorar verzichtet habe, sondern dass E._____ mit der Klägerin auch noch einen Ver- gleich auf Leistung von Schadenersatz in beträchtlicher Höhe abgeschlossen ha- be, der ebenfalls zu berücksichtigen wäre (act. 381 S. 4 f.).</w:t>
      </w:r>
    </w:p>
    <w:p>
      <w:r>
        <w:t>- 21 - c) Als Grund für den Honorarverzicht wird im Vergleich mit der E._____ AG "the settlement of certain dissensions" angeführt. Die Vorinstanz erachtete als unbestritten, dass sich diese Meinungsverschiedenheiten auf die den Gegenstand des vorliegenden Verfahrens bildenden Unregelmässigkeiten bei der C._____ Gruppe bezogen, welche die E._____ AG als Revisionsgesellschaft der Klägerin nicht erkannte (vgl. dazu act. 2 S. 15 ff., insbes. S. 17 Rz. 34). Davon ist in der Tat auszugehen. Daraus folgt jedoch nicht, dass es sich dabei um eine Leistung an den Schadenersatzanspruch handelte, der Gegenstand die- ses Verfahrens ist. Wie oben gezeigt wurde, besteht der eingeklagte Schaden aus den ungerechtfertigten Earn-Out-Zahlungen (vgl. III.1). Die Kosten, welche der Klägerin im Zusammenhang mit der Aufdeckung der Verfehlungen der Beklagten entstanden, stellen grundsätzlich weitere Schadenspositionen dar, soweit es sich nicht um Aufwendungen handelt, die ohnehin angefallen wären (sog. Ohnehin- Kosten, bspw. Kosten für ordentliche Revisionsarbeiten). Da die Klägerin darauf verzichtete, diese Schadenspositionen gegenüber den Beklagten geltend zu ma- chen, sondern sich auf die Rückforderung der ihrer Auffassung nach unberechtig- ten Earn-Out-Zahlungen beschränkte, handelt es sich beim Honorar nicht um eine Position des zu beurteilenden Schadens, so dass die Reduktion dieses Honorars nicht an den eingeklagten Schaden anzurechnen ist. Wenn die Klägerin geltend macht, die E._____ AG habe die Verfehlungen der Beklagten nicht entdeckt, wirft sie ihr eine Schlechterfüllung ihrer vertraglichen Leistungspflicht vor, was einen Schadenersatzanspruch auslöst, der mit dem Ho- norarverzicht abgegolten wird. Damit reduzieren sich die Aufwendungen, die der Klägerin im Zusammenhang mit der Aufdeckung der Verfehlungen der Beklagten entstanden sind. Auf den eingeklagten Schaden wirkt sich diese Honorarreduktion jedoch nicht aus. d) Eine Bereicherung oder eine Kumulation von Schadenersatzleistungen liegt somit entgegen der Auffassung des Beklagten 1 nicht vor. Aus dem Zeitpunkt der Einreichung des Vergleichs mit der E._____ AG erst im Beweisverfahren kann der Beklagte 1 nichts zu seinen Gunsten ableiten. Seine Behauptung, dass es neben der Honorarreduktion auch zu einer Schadenersatzleistung in beträchtlicher Höhe</w:t>
      </w:r>
    </w:p>
    <w:p>
      <w:r>
        <w:t>- 22 - gekommen sei, ist nicht nur neu (vgl. act. 307 S. 48 f.), sondern auch völlig unbe- legt und hat den Stellenwert einer reinen Spekulation, so dass darauf nicht einzu- gehen ist. Die Anschlussberufung ist daher mit Bezug auf die Anrechnung des Vergleichs mit der E._____ AG gutzuheissen. Die Honorarreduktion um CHF 336'000.00 ist nicht an den Schadenersatzanspruch der Klägerin anzurechnen.</w:t>
      </w:r>
    </w:p>
    <w:p>
      <w:r>
        <w:rPr>
          <w:b/>
        </w:rPr>
        <w:t>E. 6</w:t>
      </w:r>
    </w:p>
    <w:p>
      <w:r>
        <w:t>Mit der Begründung, die Klägerin habe ihre Zinsforderung nicht begründet, sprach ihr die Vorinstanz den Verzugszins nicht seit der behaupteten Entstehung des Schadens, sondern erst seit Einreichung des Sühnbegehrens am 26. Juni 2008 zu (act. 341 S. 65). a) Mit der Anschlussberufung verlangt die Klägerin Verzugszins ab dem 30. Juni 2004, was sie mit der an diesem Tag erfolgten Zustellung eines Zah- lungsbefehls über CHF 9'606'000.00 begründet (act. 330/1). Sie habe den Zahlungsbefehl unter Berufung auf § 115 Ziff. 2 ZPO-ZH als Beilage zur Eingabe vom 28. November 2014 eingereicht (act. 328). Da es sich beim Zah- lungsbefehl um eine Urkunde handle, welche den sofortigen Beweis erbringe, sei der Ausnahmetatbestand von § 115 Ziff. 2 ZPO-ZH erfüllt und liege kein verspäte- tes Novum vor (act. 372 S. 8 f.). Der Beklagte 1 bestreitet die Rechtzeitigkeit der klägerischen Vorbringen (act. 381 S. 5 f.). b) Die Klägerin reichte den Zahlungsbefehl vor Vorinstanz als Nachweis für die Unterbrechung der Verjährung ein (act. 328 S. 4). Dass sie damit den Zinsenlauf des Verzugszinses ausgelöst habe, behauptet sie erstmals mit der Anschlussbe- rufung. Demnach handelt es sich um eine neue Behauptung im Berufungsverfahren. Wie eingangs erwähnt, gilt für das Berufungsverfahren die Schweizerische Zivilpro- zessordung, was bedeutet, dass die Zulässigkeit von Noven nach anderen Grund-</w:t>
      </w:r>
    </w:p>
    <w:p>
      <w:r>
        <w:t>- 23 - lagen zu beurteilen ist, als vor erster Instanz, wo noch die von der Klägerin ange- rufene kantonale Zivilprozessordnung galt. Gemäss Art. 317 Abs. 1 lit. b ZPO sind neue Behauptungen im Berufungsverfah- ren nur zu berücksichtigen, wenn sie trotz zumutbarer Sorgfalt nicht schon vor erster Instanz vorgebracht werden konnten. Diese Voraussetzung ist nicht erfüllt, da der Beklagte 1 bereits in der Klageantwort bestritten hatte, dass eine Mahnung erfolgt war, wie die Klägerin selbst einräumt (act. 372 S. 8 Rz. 31 m.H. auf act. 21 S. 31 Rz. 94). Dass die Einreichung der als Beweis angerufenen Urkunde im vorinstanzlichen Verfahren nach den damals anwendbaren Bestimmungen des kantonalen Rechts einen eigenen Grund für die Zulässigkeit des Novums darstellte (§115 Ziff. 2 ZPO/ZH), vermag daran nichts zu ändern, da die Klägerin die neue Behauptung, die sie heute damit belegen will, damals noch nicht aufgestellt hatte. Nicht nur das Beweismittel, sondern schon die Behauptung ist nach der im Berufungsverfahren einschlägigen Novenregelung der Schweizerischen Zivilprozessordnung verspä- tet. c) Die Anschlussberufung ist demnach mit Bezug auf den Verzugszins abzu- weisen. Der Klägerin ist Verzugszins auf ihre Schadenersatzforderung in gesetzli- cher Höhe von 5 % seit Einreichung des Sühnbegehrens am 26. Juni 2008 zuzu- sprechen.</w:t>
      </w:r>
    </w:p>
    <w:p>
      <w:r>
        <w:rPr>
          <w:b/>
        </w:rPr>
        <w:t>E. 7</w:t>
      </w:r>
    </w:p>
    <w:p>
      <w:r>
        <w:t>Der Beklagte 1 wird verpflichtet, der Klägerin für das zweitinstanzliche Ver- fahren eine Parteientschädigung von CHF 80'000.00 (inkl. Mehrwertsteuer) zu bezahlen. Diese ist von der Obergerichtskasse aus der vom Beklagten 1 geleisteten Sicherheitsleistung zu entrichten. Ein allfällig verbleibender Mehrbetrag ist dem Beklagten 1 zurückzuerstatten.</w:t>
      </w:r>
    </w:p>
    <w:p>
      <w:r>
        <w:rPr>
          <w:b/>
        </w:rPr>
        <w:t>E. 8</w:t>
      </w:r>
    </w:p>
    <w:p>
      <w:r>
        <w:t>Schriftliche Mitteilung an die Parteien, sowie an das Bezirksgericht Zürich, 7. Abteilung,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4'231'207.80. Die Beschwerde an das Bundesgericht hat keine aufschiebende Wirkung.</w:t>
      </w:r>
    </w:p>
    <w:p>
      <w:r>
        <w:t>- 27 -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