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LB170016 vom 9. Juli 2018</w:t>
      </w:r>
    </w:p>
    <w:p>
      <w:r>
        <w:t>ZH Obergericht, 2018-07-09, DE</w:t>
      </w:r>
    </w:p>
    <w:p>
      <w:r>
        <w:rPr>
          <w:b/>
        </w:rPr>
        <w:t xml:space="preserve">Quelle: </w:t>
      </w:r>
      <w:r>
        <w:t>https://mcp.opencaselaw.ch/entscheid/zh_obergericht_LB170016</w:t>
      </w:r>
    </w:p>
    <w:p>
      <w:r>
        <w:t>FR: ZH_OBERGERICHT LB170016 du 9 juillet 2018</w:t>
      </w:r>
    </w:p>
    <w:p>
      <w:r>
        <w:t>IT: ZH_OBERGERICHT LB170016 del 9 luglio 2018</w:t>
      </w:r>
    </w:p>
    <w:p>
      <w:pPr>
        <w:pStyle w:val="Heading2"/>
      </w:pPr>
      <w:r>
        <w:t>Erwägungen</w:t>
      </w:r>
    </w:p>
    <w:p>
      <w:r>
        <w:rPr>
          <w:b/>
        </w:rPr>
        <w:t>E. 1</w:t>
      </w:r>
    </w:p>
    <w:p>
      <w:r>
        <w:t>Abteilung, vom 25. September 2015 samt jener Regelung der Kosten- und Ent- schädigungsfolgen rechtskräftig.</w:t>
      </w:r>
    </w:p>
    <w:p>
      <w:r>
        <w:rPr>
          <w:b/>
        </w:rPr>
        <w:t>E. 2</w:t>
      </w:r>
    </w:p>
    <w:p>
      <w:r>
        <w:t>Für die Kostenfolgen des Berufungsverfahrens ist von Folgendem auszu- gehen: Die Kammer hat mit dem Berufungsurteil vom 12. September 2016 (LB150067) einen vollständig begründeten Entscheid mit entsprechendem Auf- wand gefällt und dafür eine Entscheidgebühr von Fr. 160'000.– festgesetzt. Weil der Rückzug erst im Nachhinein erfolgt ist, kommt eine Reduktion i.S.v. § 12 Abs. 1 i.V.m. § 10 Abs. 1 GebV OG nicht in Frage. Der seit der Rückweisung durch das Bundesgericht im vorliegenden Verfahren angefallene Aufwand recht- fertigt angesichts der gesamten Umstände des Falles keine Erhöhung der ur- sprünglichen Entscheidgebühr, welche damit bei Fr. 160'000.– bleibt.</w:t>
      </w:r>
    </w:p>
    <w:p>
      <w:r>
        <w:rPr>
          <w:b/>
        </w:rPr>
        <w:t>E. 3</w:t>
      </w:r>
    </w:p>
    <w:p>
      <w:r>
        <w:t>Was die Parteientschädigung anbelangt, hatte die Beklagte im Rahmen des ersten Berufungsverfahrens keinen Aufwand. Im vorliegenden zweiten Beru- fungsverfahren erstattete sie eine Berufungsantwort sowie eine Anschlussberu- fungsbegründung (act. 260). Bei der Berufungsantwort konnte sie von der unübli- chen Ausgangslage profitieren, dass bereits ein begründeter Berufungsentscheid vorlag, der ihren Standpunkt stützte. Dazu kommt, dass das Bundesgericht im Ur- teil vom 14. März 2017 (BGer 4A_595/2016; 4A_599/2016; act. 246) in einer summarischen Beurteilung des Entscheides der Kammer vom 12. September 2016 durchblicken liess, dass es am vorgelegten Berufungsurteil nichts zu bean- standen gebe. Der sich für die Berufungsantwort zu rechtfertigende Aufwand</w:t>
      </w:r>
    </w:p>
    <w:p>
      <w:r>
        <w:t>- 3 - musste sich angesichts dieser Vorgaben in Grenzen halten, was bei der Festset- zung der Entschädigung zu berücksichtigen ist (§ 4 Abs. 2 AnwGebV). Die Ent- schädigung im Berufungsverfahren ist weiter gemäss § 13 Abs. 2 AnwGebV zu reduzieren. Unter Würdigung aller Umstände ist die Beklagte für das Berufungs- verfahren mit Fr. 35'000.– zuzüglich 7.7 % MWSt zu entschädigen. Was den Aufwand der Beklagten für die Begründung der Anschlussberufung anbelangt, ist dieser nicht zusätzlich zu entschädigen. Nach dem Mechanismus der Anschlussberufung fällt diese dahin, wenn die Berufung zurückgezogen wird. Wer Anschlussberufung erhebt, nimmt dieses Risiko in Kauf (vgl. z.B. Benedikt Seiler, Die Berufung nach ZPO, Zürich 2013, Rz 1430, Rz 1480) – wer dieses Ri- siko nicht eingehen will, muss eine eigenständige Berufung erheben, die dann unabhängig vom Verhalten der Gegenpartei zur Beurteilung gelangt. Kann die Anschlussberufung nicht mehr beurteilt werden, wird der dafür geleistete Aufwand obsolet, so dass dafür auch keine Entschädigung zuzusprechen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