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LB170006 vom 25. August 2017</w:t>
      </w:r>
    </w:p>
    <w:p>
      <w:r>
        <w:t>ZH Obergericht, 2017-08-25, DE</w:t>
      </w:r>
    </w:p>
    <w:p>
      <w:r>
        <w:rPr>
          <w:b/>
        </w:rPr>
        <w:t xml:space="preserve">Quelle: </w:t>
      </w:r>
      <w:r>
        <w:t>https://mcp.opencaselaw.ch/entscheid/zh_obergericht_LB170006</w:t>
      </w:r>
    </w:p>
    <w:p>
      <w:r>
        <w:t>FR: ZH_OBERGERICHT LB170006 du 25 août 2017</w:t>
      </w:r>
    </w:p>
    <w:p>
      <w:r>
        <w:t>IT: ZH_OBERGERICHT LB170006 del 25 agosto 2017</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w:t>
      </w:r>
    </w:p>
    <w:p>
      <w:r>
        <w:t>- 6 -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 zen. Das Gleiche gilt im Falle von Haupt- und Eventualbegründung. Auch hier muss sich der Berufungskläger mit beiden Begründungen auseinandersetzen (Hungerbühler/Bucher, DIKE-Komm-ZPO, Art. 311 N 42 f.). Zwar prüft die Beru- fungsinstanz nicht nur die geltend gemachten Rügen (Rügeprinzip). Aber das Ge- richt muss den angefochtenen Entscheid nicht von sich aus auf Mängel untersu- chen, es sei denn, der Sachverhalt sei geradezu willkürlich festgestellt worden oder das Recht sei geradezu willkürlich angewandt worden (Reetz/Theiler, a.a.O.). Aufgrund der umfassenden Überprüfungsbefugnis ist die Berufungs- instanz nicht an die mit den Rügen vorgebrachten Argumente oder an die Erwä- gungen der Vorinstanz gebunden, sie kann die Rügen auch mit abweichenden Erwägungen gutheissen oder abweisen (vgl. Reetz/Theiler, a.a.O., Art. 310 N 6).</w:t>
      </w:r>
    </w:p>
    <w:p>
      <w:r>
        <w:rPr>
          <w:b/>
        </w:rPr>
        <w:t>E. 2</w:t>
      </w:r>
    </w:p>
    <w:p>
      <w:r>
        <w:t>Die zweitinstanzliche Entscheidgebühr wird auf Fr. 3‘200.– festgesetzt.</w:t>
      </w:r>
    </w:p>
    <w:p>
      <w:r>
        <w:t>- 17 -</w:t>
      </w:r>
    </w:p>
    <w:p>
      <w:r>
        <w:rPr>
          <w:b/>
        </w:rPr>
        <w:t>E. 3</w:t>
      </w:r>
    </w:p>
    <w:p>
      <w:r>
        <w:t>Die Gerichtskosten für das zweitinstanzliche Verfahren werden dem Kläger auferlegt und mit seinem Kostenvorschuss verrechnet.</w:t>
      </w:r>
    </w:p>
    <w:p>
      <w:r>
        <w:rPr>
          <w:b/>
        </w:rPr>
        <w:t>E. 4</w:t>
      </w:r>
    </w:p>
    <w:p>
      <w:r>
        <w:t>Der Beklagten wird für das zweitinstanzliche Verfahren keine Parteientschä- digung zugesprochen.</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60‘597.60. Die Beschwerde an das Bundesgericht hat keine aufschiebende Wirkung. Hinsichtlich des Fristenlaufs gelten die Art. 44 ff. BGG. Zürich, 25. August 2017 Obergericht des Kantons Zürich I. Zivilkammer Die Vorsitzende: Die Gerichtsschreiberin: Dr. L. Hunziker Schnider lic. iur. S. Notz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