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LB160035 vom 13. Oktober 2016</w:t>
      </w:r>
    </w:p>
    <w:p>
      <w:r>
        <w:t>ZH Obergericht, 2016-10-13, DE</w:t>
      </w:r>
    </w:p>
    <w:p>
      <w:r>
        <w:rPr>
          <w:b/>
        </w:rPr>
        <w:t xml:space="preserve">Quelle: </w:t>
      </w:r>
      <w:r>
        <w:t>https://mcp.opencaselaw.ch/entscheid/zh_obergericht_LB160035</w:t>
      </w:r>
    </w:p>
    <w:p>
      <w:r>
        <w:t>FR: ZH_OBERGERICHT LB160035 du 13 octobre 2016</w:t>
      </w:r>
    </w:p>
    <w:p>
      <w:r>
        <w:t>IT: ZH_OBERGERICHT LB160035 del 13 ottobre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Klägerin macht eine vertragliche Honorarforderung geltend. Die Be- klagte 3 ist eine im ausländischen Handelsregister eingetragene Gesellschaft nach slowakischem Recht. Die Klägerin hat die Beklagten als einfache Streitge-</w:t>
      </w:r>
    </w:p>
    <w:p>
      <w:r>
        <w:t>- 4 - nossen vor dem Bezirksgericht Zürich ins Recht gefasst. Das Bezirksgericht ist nicht auf die Klage gegen die Beklagte 3 eingetreten, weil es sich diesbezüglich nicht für zuständig hält.</w:t>
      </w:r>
    </w:p>
    <w:p>
      <w:r>
        <w:rPr>
          <w:b/>
        </w:rPr>
        <w:t>E. 2</w:t>
      </w:r>
    </w:p>
    <w:p>
      <w:r>
        <w:t>Die Klägerin hat rechtzeitig Berufung eingereicht. Die vorinstanzlichen Ak- ten sind beigezogen worden. Mit Verfügung vom 23. Juni 2016 (act. 50) wurde der Klägerin ein Kostenvorschuss auferlegt, den sie rechtzeitig leistete (act. 52).</w:t>
      </w:r>
    </w:p>
    <w:p>
      <w:r>
        <w:rPr>
          <w:b/>
        </w:rPr>
        <w:t>E. 3</w:t>
      </w:r>
    </w:p>
    <w:p>
      <w:r>
        <w:t>Die Beklagte fasst sich in der Berufungsantwort kurz, widerspricht der Rechtsauffassung der Klägerin und ersucht darum, der richtigen und korrekten Rechtsauffassung der Vorinstanz zum Durchbruch zu verhelfen (act. 55).</w:t>
      </w:r>
    </w:p>
    <w:p>
      <w:r>
        <w:rPr>
          <w:b/>
        </w:rPr>
        <w:t>E. 4</w:t>
      </w:r>
    </w:p>
    <w:p>
      <w:r>
        <w:t>b) Bundesgerichtlichen Präjudizien wird in der Regel Folge geleistet, auch wenn sie rechtlich nicht verbindlich sind (Max Guldener, Schweizerisches Zivil- prozessrecht, 3. Auflage, Zürich 1979, S. 4). Gleiches gilt für die eigenen Präjudi- zien der Gerichte. Praxisänderungen führen dazu, dass die Rechtssicherheit und die Rechtsgleichheit tangiert wird (Guldener, a.a.O., Anm. 8 auf S. 4). Die zitierte Rechtsprechung stammt aus neuerer Zeit und die Verhältnisse haben sich seither nicht verändert, so dass kein Grund besteht, davon abzuweichen. Der vorinstanz- liche Entscheid ist deshalb aufzuheben und der Fall an die Vorinstanz zurückzu- weisen, um in der Sache zu entscheiden. III. Kommt es zu einer Aufhebung des vorinstanzlichen Entscheides und zu ei- ner Rückweisung an die Vorinstanz, so obliegt es dieser im Zusammenhang mit dem Endentscheid, die Kosten- und Entschädigungsfolgen des erstinstanzlichen Verfahrens festzusetzen und zu verlegen. Was die Berufung anbelangt, wird die Beklagte 3 ausgangsgemäss kosten- und entschädigungspflichtig (Art. 106 Abs. 1 ZPO; §§ 4 Abs. 1 und 2, 13 Abs. 2 AnwGebV; §§ 4 Abs. 1 und 2, 10 Abs. 1, § 12 Abs. 1 GerGebV). Bezogen auf Parteien im Ausland gibt es keine Mehrwertsteuerpflicht.</w:t>
      </w:r>
    </w:p>
    <w:p>
      <w:r>
        <w:t>- 10 -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