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LB150073 vom 26. September 2016</w:t>
      </w:r>
    </w:p>
    <w:p>
      <w:r>
        <w:t>ZH Obergericht, 2016-09-26, DE</w:t>
      </w:r>
    </w:p>
    <w:p>
      <w:r>
        <w:rPr>
          <w:b/>
        </w:rPr>
        <w:t xml:space="preserve">Quelle: </w:t>
      </w:r>
      <w:r>
        <w:t>https://mcp.opencaselaw.ch/entscheid/zh_obergericht_LB150073</w:t>
      </w:r>
    </w:p>
    <w:p>
      <w:r>
        <w:t>FR: ZH_OBERGERICHT LB150073 du 26 septembre 2016</w:t>
      </w:r>
    </w:p>
    <w:p>
      <w:r>
        <w:t>IT: ZH_OBERGERICHT LB150073 del 26 settembre 2016</w:t>
      </w:r>
    </w:p>
    <w:p>
      <w:pPr>
        <w:pStyle w:val="Heading2"/>
      </w:pPr>
      <w:r>
        <w:t>Erwägungen</w:t>
      </w:r>
    </w:p>
    <w:p>
      <w:r>
        <w:rPr>
          <w:b/>
        </w:rPr>
        <w:t>E. 2</w:t>
      </w:r>
    </w:p>
    <w:p>
      <w:r>
        <w:t>Auszugehen ist vom Saldo des Projektes "B1._____", wie er im Urteil vom 27. Februar 2015 ermittelt wurde, und wogegen die Beschwerde an das Bundesgericht nicht erfolgreich war.</w:t>
      </w:r>
    </w:p>
    <w:p>
      <w:r>
        <w:t>- 5 - Eventuell beharrt die Beklagte auf der geltend gemachten Verrechnung (act. 83 S. 29 - 44). Sie bezieht sich auf ein Guthaben aus dem Bauvorhaben "C._____", wie sie es bereits in der vorprozessualen Korrespondenz erklärt hatte: aus dem Nachtrag Nr. 16 (zum Werkvertrag "C._____") habe sie einen Betrag von Fr. 996'439.17 geltend gemacht, den die Klägerin im Umfang von Fr. 892'436.35 anerkannt habe − und das stelle sie der Forderung der Klägerin (von damals Fr. 289'324.15, die auch in Weisung und Klageschrift noch erschei- nen) eventualiter zur Verrechnung entgegen (act. 4/23, Schreiben vom 25. Juni 2010). Mit Verfügung vom 29. Juli 2016 wurde der Beklagten Gelegenheit gegeben, um sich zur Situation der Verrechnung zu äussern, nachdem sie das Urteil in der Sache "C._____" nicht anfocht (act. 101). Innert erstreckter Frist erneuert sie ih- ren Antrag, es sei das hier angefochtene Urteil aufzuheben und die Klage abzu- weisen, und sie verlangt, dass ihr im parallelen Verfahren "C._____" Frist zur Be- rufungsantwort und Anschlussberufung angesetzt werde (act. 106, Rz. 4 und pas- sim). Sie kritisiert einlässlich die Behandlung der Verrechnungsforderung im pa- rallelen Verfahren durch das Bezirksgericht, welches sie aus politischen Opportu- nitäts-Gründen nicht eigens angefochten habe und stellt weitere Ausführungen in Aussicht. Zur Frage, ob die Verrechnungslage auch ohne (Anschluss-)Berufung im Parallelfall noch bestehe, äussert sie sich nicht. Es besteht daher die rechtliche Situation, wie sie in der Verfügung vom 29. Juli 2016 skizziert worden ist: im parallelen Fall "C._____" hat das Bezirksge- richt entschieden, dass die Klägerin einen (bescheidenen) Restanspruch gegen- über der Beklagten habe. Diese Rechnung berücksichtigt die Verrechnungseinre- de der Beklagten, so weit sie das Bezirksgericht als berechtigt erkennt (Urteil CG100095 vom 25. September 2015 S. 217), und die Beklagte hat das Urteil nicht angefochten. So weit die Verrechnung zugelassen und ein entsprechender Posten in die Rechnung eingesetzt wurde, ist die zur Verrechnung gestellte For- derung im Sinne von Art. 124 Abs. 2 OR untergegangen. So weit die Verrech- nungsforderung als unberechtigt beurteilt wurde, steht einer erneuten Berücksich- tigung im vorliegenden Verfahren die materielle Rechtskraft entgegen. Damit</w:t>
      </w:r>
    </w:p>
    <w:p>
      <w:r>
        <w:t>- 6 - bleibt für die Verrechnungseinrede im vorliegenden Verfahren zum Projekt "B1._____" kein Raum mehr. Daran kann nichts ändern, dass die Beklagte die Beurteilung durch das Bezirksgericht als unrichtig ansieht und das auch einläss- lich begründet. Das hätte sie im parallelen Verfahren tun können und tun müssen, wenn sie eine Überprüfung durch das Obergericht hätte erwirken wollen. Offen- kundig hat sie sich darauf verlassen, dass sie in jenem Fall zu einer Berufungs- antwort aufgefordert werde und in deren Rahmen werde Anschlussberufung zum Punkt der Verrechnung führen können (so sind ihre Äusserungen in der Eingabe vom 14. September 2016 Rz. 3 zu verstehen, zusammen mit dem Antrag im vor- liegenden Verfahren LB150073, man möge ihr Gelegenheit geben, im Verfah- ren LB150067 Anschlussberufung zu erheben). Dabei hatte sie offenbar das alte zürcherische Prozessrecht vor Augen, welches nicht nur zwingend eine Beru- fungsantwort, sondern zudem Replik und Duplik verlangte (§§ 265 f. und 268 ZPO/ZH). Auf das heutige Berufungsverfahren kommt aber das neue Recht zur Anwendung, welches neben der schriftlichen Berufungsbegründung keinen weite- ren obligatorischen Verfahrensschritt vorsieht (Art. 405 Abs. 1 in Verbindung mit Art. 312 ZPO; zu den Neuerungen ZK-ZPO Reetz, 3. Aufl. 2016, Vorbemerkun- gen zu den Art. 308-318 N. 4, sowie eingehend Art. 312 N. 5 ff. und insbesondere N. 14 ff.; BGer 5A_849/2015 vom 27. Juni 2016 E. 3) - so wurde auch schon der erste Entscheid im vorliegenden Berufungsverfahren zur Sache "B1._____", das Urteil vom 27. Februar 2015, ohne Einholen einer Berufungsantwort gefällt. Damit bleibt aufgrund der neuen Situation für eine Diskussion der Verrech- nungsforderung im vorliegenden Verfahren kein Raum mehr. Die Berufung ist ab- zuweisen, und das angefochtene Urteil ist zu bestätigen.</w:t>
      </w:r>
    </w:p>
    <w:p>
      <w:r>
        <w:rPr>
          <w:b/>
        </w:rPr>
        <w:t>E. 4</w:t>
      </w:r>
    </w:p>
    <w:p>
      <w:r>
        <w:t>Für das Verfahren der Berufung wird keine Parteientschädigung zugespro- chen.</w:t>
      </w:r>
    </w:p>
    <w:p>
      <w:r>
        <w:rPr>
          <w:b/>
        </w:rPr>
        <w:t>E. 5</w:t>
      </w:r>
    </w:p>
    <w:p>
      <w:r>
        <w:t>Schriftliche Mitteilung an die Parteien, an die Klägerin unter Beilage eines Doppels der Eingabe der Beklagten vom 14. September 2016 (act. 106), sowie an das Bezirksgericht Zürich, 8. Abteilung, je gegen Empfangsschein, und an die Obergerichtskasse.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- 8 - Dies ist ein Endentscheid im Sinne von Art. 90 BGG. Es handelt sich um eine vermögensrechtliche Angelegenheit. Der Streitwert beträgt rund Fr. 252'000.--. Die Beschwerde an das Bundesgericht hat keine aufschiebende Wirkung. Obergericht des Kantons Zürich II. Zivilkammer Der Vorsitzende: Der Leitende Gerichtsschreiber: lic. iur. P. Diggelmann lic. iur. M. Hinden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