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LB150040 vom 1. April 2016</w:t>
      </w:r>
    </w:p>
    <w:p>
      <w:r>
        <w:t>ZH Obergericht, 2016-04-01, DE</w:t>
      </w:r>
    </w:p>
    <w:p>
      <w:r>
        <w:rPr>
          <w:b/>
        </w:rPr>
        <w:t xml:space="preserve">Quelle: </w:t>
      </w:r>
      <w:r>
        <w:t>https://mcp.opencaselaw.ch/entscheid/zh_obergericht_LB150040</w:t>
      </w:r>
    </w:p>
    <w:p>
      <w:r>
        <w:t>FR: ZH_OBERGERICHT LB150040 du 1 avril 2016</w:t>
      </w:r>
    </w:p>
    <w:p>
      <w:r>
        <w:t>IT: ZH_OBERGERICHT LB150040 del 1 aprile 2016</w:t>
      </w:r>
    </w:p>
    <w:p>
      <w:pPr>
        <w:pStyle w:val="Heading2"/>
      </w:pPr>
      <w:r>
        <w:t>Erwägungen</w:t>
      </w:r>
    </w:p>
    <w:p>
      <w:r>
        <w:rPr>
          <w:b/>
        </w:rPr>
        <w:t>E. 3</w:t>
      </w:r>
    </w:p>
    <w:p>
      <w:r>
        <w:t>Die zweitinstanzliche Entscheidgebühr wird auf Fr. 4'000.– festgesetzt.</w:t>
      </w:r>
    </w:p>
    <w:p>
      <w:r>
        <w:t>- 7 -</w:t>
      </w:r>
    </w:p>
    <w:p>
      <w:r>
        <w:rPr>
          <w:b/>
        </w:rPr>
        <w:t>E. 4</w:t>
      </w:r>
    </w:p>
    <w:p>
      <w:r>
        <w:t>Die Gerichtskosten werden der Klägerin auferlegt und mit dem von ihr ge- leisteten Kostenvorschuss verrechnet. Im Mehrbetrag wird der Kostenvor- schuss der Klägerin nach Eintritt der Rechtskraft zurückerstattet.</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2'950'000.–. Die Beschwerde an das Bundesgericht hat keine aufschiebende Wirkung. Hinsichtlich des Fristenlaufs gelten die Art. 44 ff. BGG. Zürich, 1. April 2016 Obergericht des Kantons Zürich I. Zivilkammer Die Vorsitzende: Die Gerichtsschreiberin: Dr. L. Hunziker Schnider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