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LB140068 vom 4. Februar 2015</w:t>
      </w:r>
    </w:p>
    <w:p>
      <w:r>
        <w:t>ZH Obergericht, 2015-02-04, DE</w:t>
      </w:r>
    </w:p>
    <w:p>
      <w:r>
        <w:rPr>
          <w:b/>
        </w:rPr>
        <w:t xml:space="preserve">Quelle: </w:t>
      </w:r>
      <w:r>
        <w:t>https://mcp.opencaselaw.ch/entscheid/zh_obergericht_LB140068</w:t>
      </w:r>
    </w:p>
    <w:p>
      <w:r>
        <w:t>FR: ZH_OBERGERICHT LB140068 du 4 février 2015</w:t>
      </w:r>
    </w:p>
    <w:p>
      <w:r>
        <w:t>IT: ZH_OBERGERICHT LB140068 del 4 febbraio 2015</w:t>
      </w:r>
    </w:p>
    <w:p>
      <w:pPr>
        <w:pStyle w:val="Heading2"/>
      </w:pPr>
      <w:r>
        <w:t>Erwägungen</w:t>
      </w:r>
    </w:p>
    <w:p>
      <w:r>
        <w:rPr>
          <w:b/>
        </w:rPr>
        <w:t>E. 1</w:t>
      </w:r>
    </w:p>
    <w:p>
      <w:r>
        <w:t>Der Klage liegt folgender Sachverhalt zugrunde: Der Beklagte war vom</w:t>
      </w:r>
    </w:p>
    <w:p>
      <w:r>
        <w:rPr>
          <w:b/>
        </w:rPr>
        <w:t>E. 4</w:t>
      </w:r>
    </w:p>
    <w:p>
      <w:r>
        <w:t>Die Gerichtskosten für das erstinstanzliche Verfahren werden der Klägerin auferlegt und mit den von ihr geleisteten Vorschüssen verrechnet. Der Fehl- betrag von Fr. 1'970.-- wird von der Klägerin nachgefordert. Der seitens des Beklagten bezahlte Barvorschuss von Fr. 2'200.-- wird diesem zurückerstat- tet.</w:t>
      </w:r>
    </w:p>
    <w:p>
      <w:r>
        <w:rPr>
          <w:b/>
        </w:rPr>
        <w:t>E. 5</w:t>
      </w:r>
    </w:p>
    <w:p>
      <w:r>
        <w:t>Die Entscheidgebühr für das zweitinstanzliche Verfahren wird der Klägerin auferlegt und mit dem geleisteten Kostenvorschuss verrechnet.</w:t>
      </w:r>
    </w:p>
    <w:p>
      <w:r>
        <w:rPr>
          <w:b/>
        </w:rPr>
        <w:t>E. 6</w:t>
      </w:r>
    </w:p>
    <w:p>
      <w:r>
        <w:t>Die Klägerin wird verpflichtet, dem Beklagten für beide Verfahren zusammen eine Parteientschädigung von Fr. 13'700.-- zu bezahlen.</w:t>
      </w:r>
    </w:p>
    <w:p>
      <w:r>
        <w:rPr>
          <w:b/>
        </w:rPr>
        <w:t>E. 7</w:t>
      </w:r>
    </w:p>
    <w:p>
      <w:r>
        <w:t>Schriftliche Mitteilung an die Parteien sowie an das Bezirksgericht Zürich, 1. Abteilung,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- 19 - Art. 113 ff. (subsidiäre Verfassungsbeschwerde) in Verbindung mit Art. 42 des Bundesgesetzes über das Bundesgericht (BGG). Dies ist ein Endentscheid im Sinne von Art. 90 BGG. Es handelt sich um eine vermögensrechtliche nicht vermögensrechtliche Angelegen- heit. Der Streitwert beträgt Fr. 52'865.45. Die Beschwerde an das Bundesgericht hat keine aufschiebende Wirkung. Hinsichtlich des Fristenlaufs gelten die Art. 44 ff. BGG. Zürich, 4. Februar 2015 Obergericht des Kantons Zürich I. Zivilkammer Die Vorsitzende: Die Gerichtsschreiberin: Dr. L. Hunziker Schnider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