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LB140057 vom 19. August 2014</w:t>
      </w:r>
    </w:p>
    <w:p>
      <w:r>
        <w:t>ZH Obergericht, 2014-08-19, DE</w:t>
      </w:r>
    </w:p>
    <w:p>
      <w:r>
        <w:rPr>
          <w:b/>
        </w:rPr>
        <w:t xml:space="preserve">Quelle: </w:t>
      </w:r>
      <w:r>
        <w:t>https://mcp.opencaselaw.ch/entscheid/zh_obergericht_LB140057</w:t>
      </w:r>
    </w:p>
    <w:p>
      <w:r>
        <w:t>FR: ZH_OBERGERICHT LB140057 du 19 août 2014</w:t>
      </w:r>
    </w:p>
    <w:p>
      <w:r>
        <w:t>IT: ZH_OBERGERICHT LB140057 del 19 agosto 2014</w:t>
      </w:r>
    </w:p>
    <w:p>
      <w:pPr>
        <w:pStyle w:val="Heading2"/>
      </w:pPr>
      <w:r>
        <w:t>Erwägungen</w:t>
      </w:r>
    </w:p>
    <w:p>
      <w:r>
        <w:rPr>
          <w:b/>
        </w:rPr>
        <w:t>E. 1</w:t>
      </w:r>
    </w:p>
    <w:p>
      <w:r>
        <w:t>Mit Zirkulationsbeschluss vom 21. Mai 2013 war das Bezirksgericht Meilen auf die Klage nicht eingetreten (Urk. 32). Das Bezirksgericht Meilen hatte sich in seinem Entscheid nur mit der Problematik der gerichtlichen Zu- ständigkeit zu befassen, nämlich mit der Frage, ob aufgrund der oben zitier- ten Schlussbestimmung des Konsortialvertrages ein Schiedsgericht hätte</w:t>
      </w:r>
    </w:p>
    <w:p>
      <w:r>
        <w:t>- 4 - angerufen werden müssen (so die Beklagten) oder ob die Klage bei einem staatlichen Gericht erhoben werden konnte (so der Kläger). Gegen diesen Entscheid hatte der Kläger in der Folge am 14. Juni 2013 Berufung beim Obergericht erhoben und die Aufhebung dieses Be- schlusses sowie die Abweisung der von den Beklagten erhobenen Schieds- einrede beantragt (Urk. 31 S. 1). Am 7. Juni 2013 hatten die Beklagten ge- gen die ihrer Ansicht nach von der Vorinstanz zu tief angesetzte Parteient- schädigung Beschwerde erhoben (Urk. 41/31). Mit Urteil vom 9. Oktober 2013 war das Beschwerdeverfahren mit dem Berufungsverfahren vereinigt, der vorinstanzliche Entscheid durch die beschliessende Kammer bestätigt und dementsprechend die oben zitierte Ziffer des Konsortialvertrages eben- falls als Schiedsvereinbarung qualifiziert sowie die von der Vorinstanz zuge- sprochene Parteientschädigung erhöht worden (Urk. 42). Mit Eingabe vom 11. November 2013 hatte der Kläger gegen diesen Entscheid Beschwerde beim Bundesgericht erhoben. Darin hatte er beantragt, die von den Beklag- ten erhobene Schiedseinrede abzuweisen und die Sache zur weiteren Be- handlung an das Bezirksgericht Meilen zurückzuweisen (Urk. 45 S. 3).</w:t>
      </w:r>
    </w:p>
    <w:p>
      <w:r>
        <w:rPr>
          <w:b/>
        </w:rPr>
        <w:t>E. 2</w:t>
      </w:r>
    </w:p>
    <w:p>
      <w:r>
        <w:t>Bei diesem Verfahrensausgang ist eine Entscheidgebühr für das Be- rufungsverfahren (inkl. des damals damit vereinigten Beschwerdeverfah- rens) von Fr. 9'550.-- festzusetzen, welche betragsmässig derjenigen ent- spricht, die schon im aufgehobenen Entscheid festgesetzt worden war (Urk. 42 S. 13). Die Vorinstanz wird in ihrem Entscheid gesamthaft über die Kos- ten- und Entschädigungsfolgen zu befinden haben (Art. 104 Abs. 4 ZPO). In diesem Zusammenhang ist noch darauf hinzuweisen, dass der Kläger einen Kostenvorschuss von Fr. 9'200.-- geleistet hat (Urk. 36 i.V.m. Urk. 37) und die Beklagten einen solchen von Fr. 1'470.-- bezahlt haben (Urk. 41/33 i.V.m. Urk. 41/34).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