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LB140035 vom 30. Mai 2014</w:t>
      </w:r>
    </w:p>
    <w:p>
      <w:r>
        <w:t>ZH Obergericht, 2014-05-30, DE</w:t>
      </w:r>
    </w:p>
    <w:p>
      <w:r>
        <w:rPr>
          <w:b/>
        </w:rPr>
        <w:t xml:space="preserve">Quelle: </w:t>
      </w:r>
      <w:r>
        <w:t>https://mcp.opencaselaw.ch/entscheid/zh_obergericht_LB140035</w:t>
      </w:r>
    </w:p>
    <w:p>
      <w:r>
        <w:t>FR: ZH_OBERGERICHT LB140035 du 30 mai 2014</w:t>
      </w:r>
    </w:p>
    <w:p>
      <w:r>
        <w:t>IT: ZH_OBERGERICHT LB140035 del 30 maggio 2014</w:t>
      </w:r>
    </w:p>
    <w:p>
      <w:pPr>
        <w:pStyle w:val="Heading2"/>
      </w:pPr>
      <w:r>
        <w:t>Erwägungen</w:t>
      </w:r>
    </w:p>
    <w:p>
      <w:r>
        <w:rPr>
          <w:b/>
        </w:rPr>
        <w:t>E. 2</w:t>
      </w:r>
    </w:p>
    <w:p>
      <w:r>
        <w:t>Hiergegen wandte sich der Kläger mit Eingabe vom 9. Mai 2014 rechtzeitig (vgl. Urk. 9) an das Obergericht und verlangte die Aufhebung des angefochtenen Entscheids sowie die Verpflichtung des Beklagten zur Bezahlung von Schadener- satz in der Höhe von Fr. 250'000.– nebst Zins (Urk. 12). Zwar trägt die Eingabe des Klägers den Titel "Beschwerde", indes geht aus seinem Rechtsbegehren klar hervor, dass er sich nicht (nur) gegen die Kosten- und Entschädigungsfolgen des angefochtenen Entscheids zur Wehr setzen möchte, weshalb sie als Berufung anzulegen ist.</w:t>
      </w:r>
    </w:p>
    <w:p>
      <w:r>
        <w:rPr>
          <w:b/>
        </w:rPr>
        <w:t>E. 3</w:t>
      </w:r>
    </w:p>
    <w:p>
      <w:r>
        <w:t>Da auf die vorliegende Berufung nicht einzutreten ist, erübrigt sich das Ein- holen einer Berufungsantwort. 4.1. Mit der Berufung können unrichtige Rechtsanwendung und unrichtige Fest- stellung des Sachverhalts geltend gemacht werden (Art. 310 ZPO). Die Beru- fungsschrift hat konkrete Rechtsbegehren zu enthalten und ist zu begründen – worauf schon in der vorinstanzlichen Rechtsmittelbelehrung hingewiesen wurde (Urk. 13 S. 3).</w:t>
      </w:r>
    </w:p>
    <w:p>
      <w:r>
        <w:t>- 3 - 4.2. Diesen formellen Anforderungen vermag die Berufung des Klägers nicht zu genügen. Zwar stellt er ein konkretes Rechtsbegehren; jedoch fehlt jegliche Be- gründung und Auseinandersetzung mit den vorinstanzlichen Entscheidgründen. Insbesondere geht der Kläger in keiner Art und Weise darauf ein, dass das Nicht- eintreten der Vorinstanz androhungsgemäss erfolgte, weil er den Kostenvor- schuss weder innert Frist, noch innert Nachfrist bezahlt hatte. 4.3. Auf die Berufung ist daher nicht einzutreten, ohne dass eine Nachfrist zur Verbesserung der Berufung anzusetzen wäre (Sutter-Somm/Hasenböhler/ Leuenberger [Hrsg.], Kommentar ZPO, N 34 f. zu Art. 311 ZPO). 5.1. Ausgangsgemäss sind die Verfahrenskosten in Anwendung von § 4 Abs. 1 und 2, § 10 Abs. 1 sowie § 12 Abs. 1 und 2 der Gebührenverordnung des Ober- gerichts (GebV OG) auf Fr. 2'000.– festzusetzen und gestützt auf Art. 106 Abs. 1 ZPO dem Kläger aufzuerlegen. 5.2. Dem Beklagten ist mangels wesentlicher Umtriebe für das Berufungsverfah- 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