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LB130063 vom 17. September 2014</w:t>
      </w:r>
    </w:p>
    <w:p>
      <w:r>
        <w:t>ZH Obergericht, 2014-09-17, DE</w:t>
      </w:r>
    </w:p>
    <w:p>
      <w:r>
        <w:rPr>
          <w:b/>
        </w:rPr>
        <w:t xml:space="preserve">Quelle: </w:t>
      </w:r>
      <w:r>
        <w:t>https://mcp.opencaselaw.ch/entscheid/zh_obergericht_LB130063</w:t>
      </w:r>
    </w:p>
    <w:p>
      <w:r>
        <w:t>FR: ZH_OBERGERICHT LB130063 du 17 septembre 2014</w:t>
      </w:r>
    </w:p>
    <w:p>
      <w:r>
        <w:t>IT: ZH_OBERGERICHT LB130063 del 17 settembre 2014</w:t>
      </w:r>
    </w:p>
    <w:p>
      <w:pPr>
        <w:pStyle w:val="Heading2"/>
      </w:pPr>
      <w:r>
        <w:t>Erwägungen</w:t>
      </w:r>
    </w:p>
    <w:p>
      <w:r>
        <w:rPr>
          <w:b/>
        </w:rPr>
        <w:t>E. 1</w:t>
      </w:r>
    </w:p>
    <w:p>
      <w:r>
        <w:t>Mit Eingabe vom 18. November 2011 hatte der Kläger beim Bezirksge- richt Hinwil beantragt, auf dem Grundstück der Beklagten ein Bauhandwerker- pfandrecht über Fr. 480'000.– nebst 5 % Zins seit 5. Juli 2010 vorläufig im Grund- buch vorzumerken. Das Einzelgericht am Bezirksgericht Hinwil hiess dieses Be- gehren mit Urteil vom 22. Dezember 2011 gut und setzte dem Kläger antragsge- mäss eine Frist von drei Monaten an, um eine Klage auf Feststellung der Forde- rung als Pfandsumme und definitive Eintragung des Pfandrechts gegen die Be- klagten anzuheben (Urk. 2/1). Am 26. März 2012 machte der Kläger die vorlie- gende Klage bei der Vorinstanz anhängig (Urk. 1). Über den weiteren Verlauf des Verfahrens vor Vorinstanz gibt der angefochtene Entscheid Auskunft (Urk. 31 S. 3 f.). Gegen Beschluss und Urteil der Vorinstanz hat der Kläger am 26. November 2013 fristgerecht Berufung erhoben (Urk. 30 und 34). Die Prozesskaution von Fr. 6'350.– wurde rechtzeitig geleistet (Urk. 36). Die Berufungsantwort datiert vom 18. Februar 2014 (Urk. 38). Sie wurde dem Kläger am 5. März 2014 zugestellt. Zu den Beilagen der Berufungsantwort nahm der Kläger am 22. bzw. 23. April 2014 schriftlich Stellung (Urk. 43 und 45). Die Stellungnahmen wurden den Beklagten zur Kenntnisnahme zugestellt.</w:t>
      </w:r>
    </w:p>
    <w:p>
      <w:r>
        <w:t>- 6 -</w:t>
      </w:r>
    </w:p>
    <w:p>
      <w:r>
        <w:rPr>
          <w:b/>
        </w:rPr>
        <w:t>E. 2</w:t>
      </w:r>
    </w:p>
    <w:p>
      <w:r>
        <w:t>Der Kläger betont in seiner Berufungsschrift, dass die Vorinstanz für die Beurteilung der Forderungsklage über Fr. 60'000.– gestützt auf § 90 GOG ganz offensichtlich zuständig sei. Gemäss Lehre sei eine objektive Klagenhäufung ins- besondere dann möglich, wenn für die eine Streitigkeit ein Schlichtungsversuch durchgeführt werden müsse, für die andere aber nicht (unter Hinweis auf Markus, Berner Kommentar, N 13 zu Art. 90 ZPO). Auch unter dem Gesichtspunkt der be- förderlichen Behandlung sowie der Prozessökonomie sei eine nochmalige Schlichtungsverhandlung nicht am Platz. Die vorgängige Schlichtungsverhand- lung dürfte häufig nicht innerhalb der vom Gericht für die Pfandrechtsklage ange- setzten Dreimonatsfrist durchzuführen sein. Doch sei vorliegend noch ein anderer Punkt von ganz entscheidender Bedeutung: Der Kläger habe seine Forderung be- reits 2011 gegen die Beklagten mit einer Klagebewilligung geltend gemacht. Die Beklagten seien jedoch unentschuldigt weggeblieben. Eine weitere Schlichtungs- verhandlung wäre gar nicht zielführend, sei doch erneut mit einer unentschuldig- ten Nichtteilnahme zu rechnen. Wenn die Beklagten heute eine nochmalige Schlichtungsverhandlung forderten, handelten sie rechtsmissbräuchlich (Urk. 30 S. 4 f.).</w:t>
      </w:r>
    </w:p>
    <w:p>
      <w:r>
        <w:rPr>
          <w:b/>
        </w:rPr>
        <w:t>E. 3</w:t>
      </w:r>
    </w:p>
    <w:p>
      <w:r>
        <w:t>Soweit der Kläger im Berufungsverfahren geltend macht, er habe die Gar- ten- bzw. Umgebungsarbeiten selber ausgeführt, ist er mit diesem Vorbringen nicht zu hören (Urk. 34 S. 1; Urk. 45). Zum einen ist die Behauptung gänzlich un- substantiiert, wiewohl die Beklagten bereits in ihrer Klageantwortschrift vor Vor- instanz gerügt hatten, der Kläger unterlasse es, substantiiert darzulegen, welche Arbeiten er persönlich, wann und in welchem Umfang erbracht habe (Urk. 11 S. 6), was auch die Vorinstanz zu Recht festgestellt hat (Urk. 31 S. 11). Zum andern unterlässt es der Kläger, mittels Verweis auf die vorinstanzlichen Akten darzutun, dass er diese Behauptung schon vor Vorinstanz und damit rechtzeitig erhoben habe, weshalb sie auch unter novenrechtlichen Gesichtspunkten unbeachtlich ist. Es ist daher davon auszugehen, dass der Kläger keine eigenen Arbeitsleistungen zur Erstellung des Kaufobjekts erbracht hat. Novenrechtlich unzulässig ist auch die neue Behauptung des Klägers im Be- rufungsverfahren, er habe seine vertragliche Verpflichtung zur Erstellung des Wohnhauses anschliessend auf die F._____ AG übertragen (Urk. 30 S. 6). Ent- gegen seinen Ausführungen hat dies die Vorinstanz in ihrem Entscheid (Urk. 31) auf Seite 11 unter E. 2.4 nicht behauptet, sondern lediglich festgehalten, die F._____ AG habe mit der G._____ AG einen Totalunternehmervertrag abge- schlossen etc., wie vorstehend unter Ziffer 1 ausgeführt.</w:t>
      </w:r>
    </w:p>
    <w:p>
      <w:r>
        <w:rPr>
          <w:b/>
        </w:rPr>
        <w:t>E. 4</w:t>
      </w:r>
    </w:p>
    <w:p>
      <w:r>
        <w:t>a) Der Kläger stellt sich in seiner Berufungsschrift auf den Standpunkt, der Nachweis eigener Arbeitsleistungen sei für die Pfandberechtigung gerade nicht erforderlich. Verlangt sei einzig, dass der betreffende Vertragspartner die durch andere Unternehmer auszuführenden Arbeiten seinerseits dem Besteller schulde, also zur Herstellung des Bauwerkes verpflichtet sei (unter Hinweis auf Gauch, Der Werkvertrag, 5. Auflage, N 230 a.E.). Der KIäger, der sich zur Erstellung des Wohnhauses den Beklagten gegenüber verpflichtet habe, sei mithin in der Positi- on eines Generalunternehmers gestanden. Dass er selber diese vertragliche Ver-</w:t>
      </w:r>
    </w:p>
    <w:p>
      <w:r>
        <w:t>- 14 - pflichtung anschliessend der F._____ AG übertragen habe, ändere an der werk- vertraglichen Verpflichtung und somit an der Generalunternehmerposition des KIägers nichts. Zudem seien dies Vertragsbeziehungen unter Dritten, welche auf die werkvertragliche Vereinbarung zwischen den vorliegenden Parteien keinerlei Einfluss habe. Es sei einzig zu prüfen, welche vertraglichen Pflichten der Kläger aus dem Vertrag mit den Beklagten vom 22. Dezember 2009 übernommen habe. Und diese Pflichten seien ganz eindeutig werkvertraglicher Natur gewesen, indem er sich bereit erklärt habe, ein schlüsselfertiges Einfamilienhaus, mithin ein Werk im Sinne von Art. 363 OR zu erstellen (Urk. 30 S. 6 f.). b) Gemäss Art. 837 Abs. 1 Ziff. 3 ZGB besteht der Anspruch auf Errichtung eines gesetzlichen Grundpfandrechts für Forderungen der Handwerker oder Un- ternehmer, die auf einem Grundstück zu Bauten oder anderen Werken, zu Ab- brucharbeiten, zum Gerüstbau, zur Baugrubensicherung oder dergleichen Materi- al und Arbeit oder Arbeit allein geliefert haben, an diesem Grundstück. Die Vor- instanz ist der Auffassung von Streiff gefolgt, wonach unter dem neuen Recht in- tellektuelle Arbeitsleistungen im Zusammenhang mit konkreten Bauten pfand- rechtsprivilegiert seien (Streiff, Das neue Bauhandwerkerpfandrecht, Wetzikon und Zürich 2011, S. 53 ff.). Dieser argumentiert im Wesentlichen, ein sachen- rechtlicher Bezug oder eine Materialisierung der Leistung am Bau sei für ein Bau- handwerkerpfandrecht nicht mehr notwendig. Man müsste eine Lücke contra le- gem annehmen, wollte man zukünftig Ingenieure und Architekten vom Bauhand- werkerpfandrecht ausschliessen. Die Einbindung des Gerüstbauers und der Ab- bruchleistungen habe eine fundamentale Wende gebracht. Beide Arbeitsgruppen materialisierten sich nicht im Bauwerk. Es sei kaum möglich, die verbalen Inten- tionen der Parlamentarier (und sogar der zuständigen Bundesrätin) als Sinn und Geist des Gesetzes heranzuziehen, wenn der Gesetzeswortlaut deutlich anders herausgekommen sei. Die Parlamentarier hätten die intellektuellen Leistungen und deren Schutz gar nicht thematisiert. Die Materialien könnten den Gesetzes- wortlaut nicht uminterpretieren (a.a.O. S. 54 f.). Diese Auffassung überzeugt nicht. Sie scheitert schon daran, dass das Ge- setz unverändert von Handwerkern und Unternehmern spricht, welche grundsätz-</w:t>
      </w:r>
    </w:p>
    <w:p>
      <w:r>
        <w:t>- 15 - lich physische Leistungen erbringen (Schumacher, Das Bauhandwerkerpfand- recht, Ergänzungsband zur 3. Auflage, Zürich • Basel • Genf 2011, N 123 ff., u.a. mit Hinweis auf die Gesetzesmaterialien zum ZGB vom 10. Dezember 1907). Wohl führt der revidierte Gesetzestext eine nicht abschliessende Aufzählung von gewissen pfandgeschützten Bauleistungen ("zu Abbrucharbeiten, zum Gerüstbau, zur Baugrubensicherung oder dergleichen") auf, die nicht eigentlich "zu Bauten oder anderen Werken" erfolgen. Es genügt also nunmehr, wenn die Lieferung von Material und Arbeit oder Arbeit allein lediglich im Zusammenhang mit einem kon- kreten Bauvorhaben erfolgt, während unter dem alten Recht der Eintritt der Ak- zession (bei der Lieferung von Material und Arbeit) bzw. eine unmittelbare physi- sche Einwirkung auf das Grundstück (bei der Lieferung von Arbeit allein) unab- dingbare Voraussetzung des Bauhandwerkerpfandrechts war (BSK ZGB II- Hofstetter/Thurnherr, Art. 839/840, N 5a f.). Diese Autoren stellen daher die Fra- ge, ob sich der Ausschluss der Pfandberechtigung für intellektuelle Bauleistungen unter dem revidierten Recht noch halten lasse, zumal dieser damit begründet worden sei, dass intellektuelle Bauleistungen mit dem Bau nicht körperlich ver- bunden würden (a.a.O., Art. 839/840 N 4). Dem ist nun aber entgegenzuhalten, dass es sich bei den neuen explizit aufgeführten pfandberechtigten Bauleistungen um physische und nicht um intellektuelle Arbeiten handelt. Der Wortlaut verbietet es daher, unter "dergleichen" auch intellektuelle Bauleistungen zu subsumieren. In den parlamentarischen Beratungen war dies kein Thema. Ständerat Janiak er- läuterte in den parlamentarischen Beratungen lediglich, auch Abbrucharbeiten, die im Zusammenhang mit dem verdichteten Bauen an Bedeutung gewinnen würden, sollten erfasst sein. Der Katalog sei aber nicht abschliessend formuliert (AB 2008 S 416). Nationalrätin Thanei sagte: "… es geht um das Bauhandwerker- Pfandrecht, und zwar insbesondere um eine Ausdehnung des Schutzes für die Unternehmer und für die Bauhandwerker. Die SP-Fraktion bejaht grundsätzlich diese Ausdehnung, denn sie befürwortet einen besseren Schutz für die Bauunter- nehmer und die Handwerker. Das heisst, die Ausweitung in Bezug auf die Ar- beitsgattungen Gerüstbau und Baugrubensicherung ist zu bejahen. Hier gibt es grundsätzlich keine Probleme." (AB 2009 N 624). Nationalrätin Amherd äusserte sich wie folgt: "Einig ist sich die Fraktion [CVP-EVP] sicher darin, dass das Bau-</w:t>
      </w:r>
    </w:p>
    <w:p>
      <w:r>
        <w:t>- 16 - handwerker-Pfandrecht auf Gerüstbau- und Aushubarbeiten ausgedehnt wird, aber ebenso auf Mietobjekte; dem können wir zustimmen. Dies entspricht auch der bundesgerichtlichen Praxis, die mit diesem Artikel jetzt neu hier verankert würde. Die Anwendungspraxis, die das Bundesgericht heute schon betreibt, wird jetzt gesetzlich geregelt." (AB 2009 N 624). Auch Nationalrätin Huber betonte, in Absatz 1 Ziffer 3 würden neu die Arbeiten präzisiert, die Gegenstand des Bau- handwerker-Pfandrechts bilden könnten. Die FDP-Liberale Fraktion unterstütze die Mehrheit bzw. den Beschluss des Ständerates, dessen Ausdehnung der gel- tenden Regelung sich aus der Praxis ergebe (AB 2009 N 624). Nationalrat Chev- rier wies darauf hin, die neu aufgeführten Abbrucharbeiten oder andere Arbeiten würden in Zukunft an Bedeutung gewinnen, insbesondere bei der Umnutzung von Industriegelände (AB 2009 N 625). In vielen Vernehmlassungen zum Vorentwurf vom März 2004 war gefordert worden, dass auch die Honorare und Auslagen der Architekten, Ingenieure und Geologen, die Planungs-, Beratungs- und Baulei- tungsarbeiten geleistet hätten, pfandberechtigt sein sollten (Schumacher, Das Bauhandwerkerpfandrecht, Systematischer Aufbau, 3. Auflage, Zürich • Basel • Genf 2008, N 309). Gemäss Gauch wurde diese Ausdehnung "erfolglos" gefor- dert. Es wäre der Anfang einer unerwünschten Ausdehnung des Pfandschutzes auf jedermann, der durch irgendeine Leistung zur Schaffung des baulichen Mehr- werts beitrage. Der revidierte Text von Art. 837 Abs. 1 Ziff. 3 ZGB sei so zu inter- pretieren, dass Architekten und Ingenieure keinen Pfandschutz genössen (Gauch, Der Werkvertrag, 5. A., Zürich • Basel • Genf 2011, N 1308). Weder der Wortlaut noch die Materialien noch die Intention der Gesetzesrevision (vgl. Schumacher, Ergänzungsband, a.a.O., N 101 ff.) lassen darauf schliessen, dass intellektuelle Leistungen neu pfandberechtigt sind. c) Für die Frage der pfandberechtigten Arbeiten spielt das zugrunde liegen- de Vertragsverhältnis keine Rolle. Der Gesetzeswortlaut knüpft an die Arbeiten an, welche ein Handwerker oder Unternehmer an einer Baute oder einem Werk erbracht hat und setzt keinen Werkvertrag oder sonst ein bestimmtes Vertrags- verhältnis voraus (Berchtold, Zur Revisionsbedürftigkeit des Bauhandwerker- pfandrechts, Zürcher Studien zum Privatrecht 208, Zürich • Basel • Genf 2008, S. 81; Schumacher, Systematischer Aufbau, a.a.O., N 480). Nicht der mit dem Ei-</w:t>
      </w:r>
    </w:p>
    <w:p>
      <w:r>
        <w:t>- 17 - gentümer abgeschlossene Werkvertrag, sondern die Leistung für das Werk bildet die Grundlage des Privilegs (Erläuterungen von Eugen Huber, zit. nach Re- ber/Hurni, Berner Kommentar, Materialien zum Zivilgesetzbuch, Band II, S. 744 N 1848; Zobl, Das Bauhandwerkerpfandrecht de lege lata und de lege ferenda, ZSR NF 101, 1982 II 95; Huber/Schwendener, Der Generalunternehmervertrag des Verbands Schweizerischer Generalunternehmer, 2. A., Zürich • Basel • Genf 2005, N 463). Die Argumentation des Klägers, er habe sich als Generalunterneh- mer gegenüber dem Kläger zur Erstellung des Hauses verpflichtet, geht daher am Kern der Sache vorbei. d) Dem Generalunternehmer bzw. dem Totalunternehmer als projektieren- dem Generalunternehmer steht nach herrschender Lehre grundsätzlich die Pfandberechtigung als Bauhandwerker zu (Schumacher, Systematischer Aufbau, a.a.O., N 336, 339 ff.; Gauch, a.a.O., N 1309). Das Bundesgericht erwähnt in BGE 95 II 87 (= Praxis 58 {1969} Nr. 102) die Möglichkeit, dass ein Bauhandwer- kerpfandrecht zugunsten des Generalunternehmers bestellt wird (E. 3). Nach der Rechtsprechung besteht das Pfandrecht des Generalunternehmers auch für Ar- beiten, die er an einen Subunternehmer weitervergeben hat (Entscheid des Kan- tonsgerichts Wallis vom 7. Mai 1997, ZWR 1998 S. 122; Entscheid des Appellati- onsrichters St. Gallen vom 21. März 1969, GVP 1969 Nr. 10). Das Obergericht des Kantons Zürich hat in einem Entscheid vom 14. Februar 1980 ausgeführt, aus Art. 837 Abs. 1 Ziff. 3 ZGB könne nicht abgeleitet werden, der Unternehmer müs- se selber Bauarbeiten, also Arbeitsvorgänge an einer oder für eine bestimmte Baute, erbringen. Nicht die tatsächlich vom Unternehmer geleistete Arbeit, son- dern die werkvertragliche Verpflichtung zur Arbeitsleistung bilde Kriterium des Pfandrechtsschutzes. Selbst wenn der Generalunternehmer keinerlei Bauarbeiten selbst ausführe, diese vielmehr allesamt an andere Unternehmer vergebe, so än- dere dies an seinem Rechtsverhältnis zum Bauherrn nichts. Bereits aus Art. 364 Abs. 2 OR ergebe sich, dass der Generalunternehmer im Regelfall im Rahmen seines Werkvertrages berechtigt sei, die tatsächliche Ausführung der Arbeiten ei- nem Dritten zu überlassen (ZR 79 {1980} Nr. 80 E. 2c). Nach dem zuvor Gesag- ten ging das Obergericht in diesem – im summarischen Verfahren ergangenen – Entscheid von einem falschen Kriterium für den Pfandrechtsschutz, nämlich vom</w:t>
      </w:r>
    </w:p>
    <w:p>
      <w:r>
        <w:t>- 18 - Vertragsverhältnis aus. Ebenso wenig ist der Einwand des Klägers stichhaltig, er bleibe auch dann Generalunternehmer, wenn er sämtliche Arbeiten an Subunter- nehmer vergebe. Zu prüfen wäre nur, ob er diesfalls Arbeiten zur Baute im Sinne von Art. 837 Abs. 1 Ziff. 3 ZGB geleistet hat. Vergibt er nämlich sämtliche Arbei- ten an Subunternehmer, so verbleiben nur noch intellektuelle Leistungen, die der Generalunternehmer für das Werk erbringt, und solche sind, wie gesehen, an sich nicht pfandberechtigt. Ob ihm dennoch für den gesamten Vergütungsanspruch ein Bauhandwerkerpfandrecht zusteht wie im Fall, dass der Generalunternehmer ne- ben Bauarbeiten auch intellektuelle Arbeiten erbringt (Schumacher, Systemati- scher Aufbau, a.a.O., N 341; Gauch, a.a.O., N 1309; anderer Auffassung Berchtold, a.a.O., S. 90 f.; Zobl, a.a.O., S. 95), kann vorliegend aber offenbleiben (vgl. sogleich). e) Der Generalunternehmer übernimmt aufgrund eines Projekts, das ihm vom Bauherrn übergeben wird, die gesamte Ausführung eines grösseren Bau- werks. An die Stelle verschiedener Nebenunternehmer, von denen jeder nur ei- nen Teil des zu erstellenden Gesamtwerks übernimmt, tritt der Generalunterneh- mer (Gauch, a.a.O., N 223). Er ist grundsätzlich berechtigt, für die Erfüllung sei- nes Vertrages uneingeschränkt Dritte (Subunternehmer) beizuziehen (BGE 94 II 161). Übergibt er sämtliche Arbeiten an Subunternehmer, spricht man von einem Generalübernehmer oder einem Schreibtisch-GU. Dies führt dazu, dass der Ge- neralunternehmer selber u.U. ein Ausschreibungsverfahren durchführt, Angebote analysiert, Vergebungsverhandlungen führt, Zeitpläne erstellt, die Leistungen sämtlicher am Bauwerk beteiligter Unternehmer koordiniert, deren Ausführung überwacht, deren Leistungen abnimmt, mit ihnen abrechnet und allfällige Nach- besserungsarbeiten leitet (Egli, Der General- und der Totalunternehmer, Schwei- zerische Baurechtstagung 1991, Bd. II, S. 70). Als Hauptleistung übernimmt der Generalunternehmer dabei die Koordinationsfunktion (vgl. Mosimann, Der Gene- ralunternehmervertrag im Baugewerbe, Diss. Zürich 1972, S. 20 und S. 21 unten). Der Kläger hat keinerlei eigene Leistungen – weder physische noch intellek- tuelle – im Zusammenhang mit der Erstellung des geschuldeten Werks rechtsge- nügend behauptet. Ob die Beklagten geltend gemacht haben, der Kläger schulde</w:t>
      </w:r>
    </w:p>
    <w:p>
      <w:r>
        <w:t>- 19 - noch werkvertragliche Leistungen (Urk. 30 S. 7 f.), ist im Zusammenhang mit der Pfandberechtigung irrelevant. Wie die Vorinstanz zutreffend ausgeführt hat, fun- gierte die G._____ AG gestützt auf einen Vertrag mit der F._____ AG als Totalun- ternehmerin (oder allenfalls Generalunternehmerin, vgl. Urk. 1 S. 6 Ziff. 12). Ob der Kläger seine vertragliche Verpflichtung zur Erstellung der Baute auf die F._____ AG übertragen hatte, kann letztlich offenbleiben. Wer keinerlei eigene Leistungen im Zusammenhang mit der Erstellung eines Werks erbringt, hat kei- nen Anspruch auf die Errichtung eines Bauhandwerkerpfandrechts. Zu Recht hat die Vorinstanz dem Kläger eine Generalunternehmerstellung abgesprochen und die Eintragung eines Bauhandwerkerpfandrechts verweigert. Es kann auf die ent- sprechenden Erwägungen verwiesen werden (oben Ziff. IV/1 bzw. Urk. 31 S. 11 ff. Ziff. 2.4 und 2.5). Die Klage auf definitive Eintragung des Bauhandwer- kerpfandrechts ist abzuweisen und das Grundbuchamt D._____ anzuweisen, die vorläufige Eintragung im Grundbuch zu löschen. V. Ausgangsgemäss wird der Kläger für beide Instanzen kosten- und entschä- digungspflichtig. Die Höhen der erstinstanzlichen Entscheidgebühr und Prozess- entschädigung blieben unangefochten und sind zu bestätigen. Der Streitwert be- trägt Fr. 120'000.–, weil der Streitwert der Pfandklage und derjenige der Forde- rungsklage zu addieren sind (Urteil der II. Zivilkammer des Obergerichts des Kan- tons Zürich vom 4. Juni 2013; RB130014-O/U, E. 2.4). Für das Berufungsverfah- ren ist die Entscheidgebühr in Anwendung von § 4 Abs. 1, § 10 Abs. 1 und § 12 Abs. 1 und 2 GebV OG auf Fr. 9'500.– und die Parteientschädigung in Anwen- dung von § 4 Abs. 1 und § 13 Abs. 1 und 2 AnwGebV auf Fr. 6'000.– zuzüglich</w:t>
      </w:r>
    </w:p>
    <w:p>
      <w:r>
        <w:rPr>
          <w:b/>
        </w:rPr>
        <w:t>E. 8</w:t>
      </w:r>
    </w:p>
    <w:p>
      <w:r>
        <w:t>Der Kläger wird verpflichtet, den Beklagten für das zweitinstanzliche Verfah- ren eine Parteientschädigung von Fr. 6'480.– zu bezahlen.</w:t>
      </w:r>
    </w:p>
    <w:p>
      <w:r>
        <w:rPr>
          <w:b/>
        </w:rPr>
        <w:t>E. 9</w:t>
      </w:r>
    </w:p>
    <w:p>
      <w:r>
        <w:t>Schriftliche Mitteilung an die Parteien, an das Grundbuchamt D._____ und an das Bezirksgericht Hinwil, je gegen Empfangsschein.</w:t>
      </w:r>
    </w:p>
    <w:p>
      <w:r>
        <w:t>- 21 -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120'000.–. Die Beschwerde an das Bundesgericht hat keine aufschiebende Wirkung. Hinsichtlich des Fristenlaufs gelten die Art. 44 ff. BGG. Zürich, 17. September 2014 Obergericht des Kantons Zürich I. Zivilkammer Die Vorsitzende: Die Gerichtsschreiberin: Dr. L. Hunziker Schnider lic. iur. E. Iseli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