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LB130016 vom 5. Februar 2014</w:t>
      </w:r>
    </w:p>
    <w:p>
      <w:r>
        <w:t>ZH Obergericht, 2014-02-05, DE</w:t>
      </w:r>
    </w:p>
    <w:p>
      <w:r>
        <w:rPr>
          <w:b/>
        </w:rPr>
        <w:t xml:space="preserve">Quelle: </w:t>
      </w:r>
      <w:r>
        <w:t>https://mcp.opencaselaw.ch/entscheid/zh_obergericht_LB130016</w:t>
      </w:r>
    </w:p>
    <w:p>
      <w:r>
        <w:t>FR: ZH_OBERGERICHT LB130016 du 5 février 2014</w:t>
      </w:r>
    </w:p>
    <w:p>
      <w:r>
        <w:t>IT: ZH_OBERGERICHT LB130016 del 5 febbraio 2014</w:t>
      </w:r>
    </w:p>
    <w:p>
      <w:pPr>
        <w:pStyle w:val="Heading2"/>
      </w:pPr>
      <w:r>
        <w:t>Erwägungen</w:t>
      </w:r>
    </w:p>
    <w:p>
      <w:r>
        <w:rPr>
          <w:b/>
        </w:rPr>
        <w:t>E. 1</w:t>
      </w:r>
    </w:p>
    <w:p>
      <w:r>
        <w:t>Die Klägerin und Berufungsklägerin (fortan: Berufungsklägerin) ist eine Akti- engesellschaft mit Sitz in Zürich; sie ist im Bereich der Softwareherstellung und EDV-Beratung tätig. Sie ist aus Fusionen und einer Firmenänderung hervorge- gangen (ehemals A1._____ AG und Rechtsnachfolgerin infolge Fusion der A2._____ AG und der A3._____ AG). Für Einzelheiten sei auf das angefochtene Urteil verwiesen (act. 156 S. 5). Der Beklagte 1 und Berufungsbeklagte (fortan: Berufungsbeklagter) und der ur- sprüngliche Beklagte 2 (AA._____) sind ehemalige Verwaltungsräte der Beru- fungsklägerin (bzw. von deren Rechtsvorgängerinnen). Mit der Klage macht die Berufungsklägerin im Wesentlichen geltend, die Beklagten hätten als Verwal- tungsräte pflichtwidrig nicht geschäftlich begründete Auslagen getätigt, veranlasst oder geduldet, wofür sie ihr unter solidarischer Haftung Ersatz zu leisten hätten. Der Berufungsbeklagte schliesst auf Abweisung der Klage. Der Berufungsbeklagte mit Wohnsitz in Zürich und der ursprüngliche Beklagte 2 mit Wohnsitz in C._____ waren Hauptaktionäre und Verwaltungsräte von Rechts- vorgängerinnen der Berufungsklägerin und hielten an diesen Gesellschaften Akti- enanteile von 58% bis 100%. Für Details sei auf das angefochtene Urteil verwie- sen (act. 156 S. 5 f.).</w:t>
      </w:r>
    </w:p>
    <w:p>
      <w:r>
        <w:rPr>
          <w:b/>
        </w:rPr>
        <w:t>E. 2</w:t>
      </w:r>
    </w:p>
    <w:p>
      <w:r>
        <w:t>Die Berufungsklägerin wirft dem Berufungsbeklagten und dem ursprüngli- chen Beklagten 2 im Wesentlichen vor, sie hätten in den Jahren 2000 bis Anfang 2004 als Verwaltungsräte auf Geschäftskosten ungerechtfertigte, d.h. nicht ge- schäftsbezogene und nicht im Interesse der Berufungsklägerin stehende Ausla- gen getätigt, veranlasst oder geduldet: - der Berufungsbeklagte habe seine Geschäftskreditkarten für private, im Inte- resse der D._____ AG liegende Ausgaben (Restaurations-, Reise- und Übernachtungsspesen) benutzt sowie Zahlungen im Zusammenhang mit</w:t>
      </w:r>
    </w:p>
    <w:p>
      <w:r>
        <w:t>- 5 - D._____ zulasten der Berufungsklägerin getätigt oder autorisiert (vgl. act. 45 Rz. 54 ff., Rz. 285 ff.); - der Berufungsbeklagte habe der D._____ AG zu Lasten der Berufungskläge- rin Zahlungen zukommen lassen, ohne dass ein Sponsoring-Vertrag vorge- legen habe (vgl. act. 45 Rz. 292 ff.); - der Berufungsbeklagte habe die Saläre von D._____-Spielern über die Beru- fungsklägerin begleichen lassen (vgl. act. 45 Rz. 297 ff.); - der Berufungsbeklagte und der ursprüngliche Beklagte 2 hätten auf Kosten der Berufungsklägerin teure Autos geleast (vgl. act. 45 Rz. 300 ff.); - der Berufungsbeklagte und der ursprüngliche Beklagte 2 hätten persönliche Aufwendungen über die Berufungsklägerin beglichen bzw. begleichen las- sen (vgl. act. 2 Rz. 29; act. 45 Rz. 144 ff.). Die Berufungsklägerin macht gestützt hierauf primär Schadenersatzansprüche aus aktienrechtlicher Verantwortlichkeit geltend. Darüber hinaus fordert sie einen "Kontokorrentsaldo".</w:t>
      </w:r>
    </w:p>
    <w:p>
      <w:r>
        <w:rPr>
          <w:b/>
        </w:rPr>
        <w:t>E. 3</w:t>
      </w:r>
    </w:p>
    <w:p>
      <w:r>
        <w:t>Der Berufungsbeklagte verneint eine Haftung. Er bestreitet insbesondere ei- ne Verletzung der Pflichten als Verwaltungsrat sowie das Vorliegen eines Scha- dens. Im Weiteren erhebt er verschiedene Einreden und Einwendungen (Verjäh- rung, Genehmigung, Décharge, Verrechnung). Auch die Forderung aus Kontokor- rentsaldo bestreitet er. Mit Urteil vom 31. Januar 2013 wies die Vorinstanz die Klage ab.</w:t>
      </w:r>
    </w:p>
    <w:p>
      <w:r>
        <w:rPr>
          <w:b/>
        </w:rPr>
        <w:t>E. 4</w:t>
      </w:r>
    </w:p>
    <w:p>
      <w:r>
        <w:t>Bei dieser Sachlage erübrigt es sich, vertieft auf die von der Berufungskläge- rin gegen die Eventualbegründung der Vorinstanz erhobenen Rügen einzugehen. Immerhin sei festgehalten, dass die Berufungsklägerin die fraglichen Protokolle der verschiedenen Generalversammlungen nicht eingereicht hat, obschon diese von beiden Parteien als Beweis- bzw. Gegenbeweismittel bezeichnet und von der Vorinstanz im Beweisabnahmebeschluss abgenommen worden waren und des- halb von der Berufungsklägerin gestützt auf § 183 ZPO/ZH einzureichen gewesen wären.</w:t>
      </w:r>
    </w:p>
    <w:p>
      <w:r>
        <w:rPr>
          <w:b/>
        </w:rPr>
        <w:t>E. 5</w:t>
      </w:r>
    </w:p>
    <w:p>
      <w:r>
        <w:t>Die Berufungsklägerin machte vor Vorinstanz weiter geltend, der Berufungs- beklagte schulde ihr gemäss Saldo des Kontokorrents Fr. 77'085.00. Die Vor- instanz wies die Klage auch insoweit ab, weil die Berufungsklägerin trotz entspre- chenden Hinweises ihrer Behauptungs- und Substantiierungspflicht nicht genü- gend nachgekommen sei (act. 156 S. 14 ff.). Falls ein Saldo eingeklagt wird, der aus der Verrechnung verschiedener Positio- nen herrührt, ist mit der Vorinstanz festzuhalten, dass die ganze, zum betreffen- den Saldo führende Abrechnung, eingeschlossen alle Einzelpositionen, dargelegt wird. Es genügt nicht, die gesamten Buchhaltungsunterlagen als Beweis zu offe- rieren. Da die Berufungsklägerin ihrer prozessualen Obliegenheit nicht nachge- kommen ist, ist die Klage auch insoweit abzuweisen. Abgesehen davon hat die Berufungsklägerin die Buchhaltungsunterlagen der Vorinstanz nicht eingereicht. Mithin erübrigen sich hierzu weitere Ausführungen.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2'049'224.70. Die Beschwerde an das Bundesgericht hat keine aufschiebende Wirkung. Obergericht des Kantons Zürich II. Zivilkammer Die Vorsitzende: Die Gerichtsschreiberin: lic. iur. A. Katzenstein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