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LB120113 vom 9. Juli 2013</w:t>
      </w:r>
    </w:p>
    <w:p>
      <w:r>
        <w:t>ZH Obergericht, 2013-07-09, DE</w:t>
      </w:r>
    </w:p>
    <w:p>
      <w:r>
        <w:rPr>
          <w:b/>
        </w:rPr>
        <w:t xml:space="preserve">Quelle: </w:t>
      </w:r>
      <w:r>
        <w:t>https://mcp.opencaselaw.ch/entscheid/zh_obergericht_LB120113</w:t>
      </w:r>
    </w:p>
    <w:p>
      <w:r>
        <w:t>FR: ZH_OBERGERICHT LB120113 du 9 juillet 2013</w:t>
      </w:r>
    </w:p>
    <w:p>
      <w:r>
        <w:t>IT: ZH_OBERGERICHT LB120113 del 9 luglio 2013</w:t>
      </w:r>
    </w:p>
    <w:p>
      <w:pPr>
        <w:pStyle w:val="Heading2"/>
      </w:pPr>
      <w:r>
        <w:t>Erwägungen</w:t>
      </w:r>
    </w:p>
    <w:p>
      <w:r>
        <w:rPr>
          <w:b/>
        </w:rPr>
        <w:t>E. 1</w:t>
      </w:r>
    </w:p>
    <w:p>
      <w:r>
        <w:t>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Dem- nach ist vorliegend für das Berufungsverfahren die Schweizerische Zivilprozess- ordnung (ZPO) anwendbar. Demgegenüber hatte die Vorinstanz die bisherigen Bestimmungen der ZPO/ZH und des GVG/ZH anzuwenden (Urk. 29 S. 3). Soweit sich im Rahmen der Überprüfung des vorinstanzlichen Entscheids Fragen der Anwendung von Verfahrensregeln stellen, ist zu prüfen, ob die Vorinstanz die im Zeitpunkt der Entscheidfällung geltenden Normen richtig angewendet hat; eine Rückwirkung des neuen Rechts findet nicht statt.</w:t>
      </w:r>
    </w:p>
    <w:p>
      <w:r>
        <w:rPr>
          <w:b/>
        </w:rPr>
        <w:t>E. 2</w:t>
      </w:r>
    </w:p>
    <w:p>
      <w:r>
        <w:t>Mit Berufung kann unrichtige Rechtsanwendung und unrichtige Feststel- lung des Sachverhalts geltend gemacht werden (Art. 310 ZPO). In der Berufungs- schrift sind die Behauptungen bestimmt und vollständig aufzustellen. Zudem muss sie – im Gegensatz zur Klageschrift – nicht nur eine tatsächliche, sondern auch eine rechtliche Begründung enthalten. Zwar prüft die Berufungsinstanz nicht nur die geltend gemachten Rügen (Rügeprinzip). Der Berufungskläger hat sich aber mit der Begründung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(Reetz/Theiler</w:t>
      </w:r>
    </w:p>
    <w:p>
      <w:r>
        <w:t>- 5 - in: ZPO-Komm. Sutter-Somm et al., 2. A., Art. 311 N 36 f.). Aufgrund der umfas- senden Überprüfungsbefugnis ist die Berufungsinstanz nicht an die mit den Rü- gen vorgebrachten Argumente oder an die Erwägungen der Vorinstanz gebun- den, sie kann die Rügen auch mit abweichenden Erwägungen gutheissen oder abweisen.</w:t>
      </w:r>
    </w:p>
    <w:p>
      <w:r>
        <w:rPr>
          <w:b/>
        </w:rPr>
        <w:t>E. 3</w:t>
      </w:r>
    </w:p>
    <w:p>
      <w:r>
        <w:t>Im Berufungsverfahren können neue Tatsachen nur noch berücksichtigt werden, wenn diese ohne Verzug vorgebracht wurden und wenn sie trotz zumut- barer Sorgfalt nicht schon vor erster Instanz vorgebracht werden konnten (Art. 317 Abs. 1 ZPO).</w:t>
      </w:r>
    </w:p>
    <w:p>
      <w:r>
        <w:rPr>
          <w:b/>
        </w:rPr>
        <w:t>E. 4</w:t>
      </w:r>
    </w:p>
    <w:p>
      <w:r>
        <w:t>Die Vorinstanz hat geprüft, ob der nach Vorstellung der Kläger fehlende achte Einstellplatz und geringere Mietertrag den Wert der gekauften Sache im Sinne von Art. 197 OR erheblich mindert. Sie hat dazu ausgeführt, das Vorhan- densein eines achten Einstellplatzes sei vom Beklagten nicht zugesichert worden. Aber auch in Bezug auf den zu erzielenden Netto-Mietertrag ergäben sich aus der Abweichung der Vorstellungen der Kläger von der effektiven Anzahl Garagenplät- ze lediglich geringfügige Auswirkungen. Die Kläger hätten inzwischen die sieben zur Verfügung stehenden Einstellplätze vermieten können. Sie erzielten damit je- nen Mietertrag, welchen auch der Beklagte in den Mieterspiegeln ausgewiesen habe. Zwar hätten die Kläger eine andere Lösung finden müssen, damit die Hauswartgeräte abgestellt werden könnten. Das sei aufwandrelevant. Die Kosten hierfür könnten mit weiteren Grundeigentümern geteilt werden. Die Kostenbeteili- gung der Kläger dürfte angesichts ihres Miteigentümeranteils an der Einstellhalle bei einem Drittel eines Garagenplatzes liegen, mithin Fr. 40.– oder wenig mehr betragen. Da demzufolge die von den Klägern [berechtigterweise] vorausgesetz- ten Mietzinserträgnisse erzielt würden und lediglich auf der (wiederum nicht zuge- sicherten) Aufwandseite geringfügige Mehrauslagen anfielen, sei auch diesbezüg- lich von keiner erheblichen Verminderung im Wert der Kaufsache auszugehen. Die Tauglichkeit zur Vermietung sei ebenfalls höchst marginal eingeschränkt (Urk. 29 S. 28 f.). Diese Erwägungen haben die Kläger in der Berufungsbegründung nicht ge- rügt. Selbst wenn die Kläger einen achten Einstellplatz und den im Mieterspiegel aufgeführten Mietertrag hätten voraussetzen dürfen, würde es daher an einer er- heblichen Minderung des Wertes der Sache im Sinne von Art. 197 OR fehlen.</w:t>
      </w:r>
    </w:p>
    <w:p>
      <w:r>
        <w:rPr>
          <w:b/>
        </w:rPr>
        <w:t>E. 5</w:t>
      </w:r>
    </w:p>
    <w:p>
      <w:r>
        <w:t>Die Kläger werden solidarisch verpflichtet, dem Beklagten für beide Verfah- ren eine Parteientschädigung von Fr. 10'859.80 zu bezahlen.</w:t>
      </w:r>
    </w:p>
    <w:p>
      <w:r>
        <w:rPr>
          <w:b/>
        </w:rPr>
        <w:t>E. 6</w:t>
      </w:r>
    </w:p>
    <w:p>
      <w:r>
        <w:t>Schriftliche Mitteilung an die Parteien und an das Bezirksgericht Zürich, 4.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- 15 - Es handelt sich um eine vermögensrechtliche Angelegenheit. Der Streitwert beträgt Fr. 28'545.–. Die Beschwerde an das Bundesgericht hat keine aufschiebende Wirkung. Hinsichtlich des Fristenlaufs gelten die Art. 44 ff. BGG. Zürich, 9. Juli 2013 Obergericht des Kantons Zürich I. Zivilkammer Der Präsident: Die Gerichtsschreiberin: Dr. R. Klopfer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