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LB120102 vom 13. März 2013</w:t>
      </w:r>
    </w:p>
    <w:p>
      <w:r>
        <w:t>ZH Obergericht, 2013-03-13, DE</w:t>
      </w:r>
    </w:p>
    <w:p>
      <w:r>
        <w:rPr>
          <w:b/>
        </w:rPr>
        <w:t xml:space="preserve">Quelle: </w:t>
      </w:r>
      <w:r>
        <w:t>https://mcp.opencaselaw.ch/entscheid/zh_obergericht_LB120102</w:t>
      </w:r>
    </w:p>
    <w:p>
      <w:r>
        <w:t>FR: ZH_OBERGERICHT LB120102 du 13 mars 2013</w:t>
      </w:r>
    </w:p>
    <w:p>
      <w:r>
        <w:t>IT: ZH_OBERGERICHT LB120102 del 13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der Beklagte zu verpflichten, dem Kläger Fr. 67'000.– nebst Zins zu 5% seit dem 2. Januar 2012, sowie Fr. 103.– Zahlungsbe- fehlskosten und Fr. 600.– Gerichtsgebühr, zudem die Kosten von Fr. 500.– für Telefonate, Redigieren von Rechtsschriften und Ein- gaben an das Betreibungsamt D._____ zu bezahlen.</w:t>
      </w:r>
    </w:p>
    <w:p>
      <w:r>
        <w:rPr>
          <w:b/>
        </w:rPr>
        <w:t>E. 2</w:t>
      </w:r>
    </w:p>
    <w:p>
      <w:r>
        <w:t>Es sei der Rechtsvorschlag der Betreibung Nr. … vom 26. Januar 2012 des Betreibungsamtes D._____ in diesem Umfang aufzuhe- ben.</w:t>
      </w:r>
    </w:p>
    <w:p>
      <w:r>
        <w:rPr>
          <w:b/>
        </w:rPr>
        <w:t>E. 3</w:t>
      </w:r>
    </w:p>
    <w:p>
      <w:r>
        <w:t>Die Gerichtskosten werden dem Kläger auferlegt und vom geleiste- ten Prozesskostenvorschuss bezogen.</w:t>
      </w:r>
    </w:p>
    <w:p>
      <w:r>
        <w:rPr>
          <w:b/>
        </w:rPr>
        <w:t>E. 4</w:t>
      </w:r>
    </w:p>
    <w:p>
      <w:r>
        <w:t>Der Kläger wird verpflichtet, dem Beklagten eine Umtriebsentschä- digung von Fr. 400.– zu entrichten.</w:t>
      </w:r>
    </w:p>
    <w:p>
      <w:r>
        <w:rPr>
          <w:b/>
        </w:rPr>
        <w:t>E. 5</w:t>
      </w:r>
    </w:p>
    <w:p>
      <w:r>
        <w:t>(Schriftliche Mitteilung.)</w:t>
      </w:r>
    </w:p>
    <w:p>
      <w:r>
        <w:rPr>
          <w:b/>
        </w:rPr>
        <w:t>E. 6</w:t>
      </w:r>
    </w:p>
    <w:p>
      <w:r>
        <w:t>Ergänzend festzuhalten bleibt, dass weder aus dem Protokoll noch aus den Akten der Vorinstanz eine Voreingenommenheit des Vorsitzenden ersichtlich ist (vgl. Urk. 32 S. 2 ff.).</w:t>
      </w:r>
    </w:p>
    <w:p>
      <w:r>
        <w:rPr>
          <w:b/>
        </w:rPr>
        <w:t>E. 7</w:t>
      </w:r>
    </w:p>
    <w:p>
      <w:r>
        <w:t>a) Die Prozesskosten werden der unterliegenden Partei auferlegt. Bei Nichteintreten gilt die klagende Partei bzw. die Partei, welche das Rechtsmittel erhoben hat, als unterliegend (vgl. Art. 106 Abs. 1 ZPO), weshalb dem Kläger die Prozesskosten des Berufungsverfahrens aufzuerlegen sind. Für deren Bemes- sung gelangen § 2, § 4 Abs. 1 und 2, § 10 Abs. 1 und § 12 Abs. 1 und 2 GebV OG vom 8. September 2010 zur Anwendung. b) Mangels wesentlicher Umtriebe ist dem Beklagten für das Berufungsver- fahren keine Entschädigung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