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LB120086 vom 7. Januar 2013</w:t>
      </w:r>
    </w:p>
    <w:p>
      <w:r>
        <w:t>ZH Obergericht, 2013-01-07, DE</w:t>
      </w:r>
    </w:p>
    <w:p>
      <w:r>
        <w:rPr>
          <w:b/>
        </w:rPr>
        <w:t xml:space="preserve">Quelle: </w:t>
      </w:r>
      <w:r>
        <w:t>https://mcp.opencaselaw.ch/entscheid/zh_obergericht_LB120086</w:t>
      </w:r>
    </w:p>
    <w:p>
      <w:r>
        <w:t>FR: ZH_OBERGERICHT LB120086 du 7 janvier 2013</w:t>
      </w:r>
    </w:p>
    <w:p>
      <w:r>
        <w:t>IT: ZH_OBERGERICHT LB120086 del 7 gennaio 2013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Dezember 2012, zog der Berufungskläger die Berufung zurück (Urk. 318). Das Verfahren ist entsprechend abzuschreiben. Ausgangsgemäss sind die Prozesskosten des Rechtsmittelverfahrens dem Berufungskläger aufzuerlegen. Mangels erheblicher Umtriebe ist dem Berufungs- beklagten für das Rechtsmittelverfahren keine Parteientschädigung zuzuspre- 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