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LB120065 vom 15. August 2012</w:t>
      </w:r>
    </w:p>
    <w:p>
      <w:r>
        <w:t>ZH Obergericht, 2012-08-15, DE</w:t>
      </w:r>
    </w:p>
    <w:p>
      <w:r>
        <w:rPr>
          <w:b/>
        </w:rPr>
        <w:t xml:space="preserve">Quelle: </w:t>
      </w:r>
      <w:r>
        <w:t>https://mcp.opencaselaw.ch/entscheid/zh_obergericht_LB120065</w:t>
      </w:r>
    </w:p>
    <w:p>
      <w:r>
        <w:t>FR: ZH_OBERGERICHT LB120065 du 15 août 2012</w:t>
      </w:r>
    </w:p>
    <w:p>
      <w:r>
        <w:t>IT: ZH_OBERGERICHT LB120065 del 15 agosto 2012</w:t>
      </w:r>
    </w:p>
    <w:p>
      <w:pPr>
        <w:pStyle w:val="Heading2"/>
      </w:pPr>
      <w:r>
        <w:t>Erwägungen</w:t>
      </w:r>
    </w:p>
    <w:p>
      <w:r>
        <w:rPr>
          <w:b/>
        </w:rPr>
        <w:t>E. 1</w:t>
      </w:r>
    </w:p>
    <w:p>
      <w:r>
        <w:t>Das Bezirksgericht Uster (als Zivilgericht) trat mit Beschluss vom 29. Juni 2011 auf die Klage betreffend Grundbuchberichtigung zufolge fehlender sachli- cher Zuständigkeit nicht ein. Gleichzeitig wies es das Grundbuchamt B._____ an, die vorläufig eingetragene Personaldienstbarkeit … zu löschen (Urk. 62 in LB110045, Dispo-Ziffern 1 und 2).</w:t>
      </w:r>
    </w:p>
    <w:p>
      <w:r>
        <w:rPr>
          <w:b/>
        </w:rPr>
        <w:t>E. 2</w:t>
      </w:r>
    </w:p>
    <w:p>
      <w:r>
        <w:t>Dagegen erhob der Kläger am 30. August 2011 Berufung beim Obergericht des Kantons Zürich, I. Zivilkammer, welches die Berufung mit Urteil vom 27. Ja- nuar 2012 abwies (Urk. 70 in LB110045, Dispo-Ziffern 1 und 2).</w:t>
      </w:r>
    </w:p>
    <w:p>
      <w:r>
        <w:rPr>
          <w:b/>
        </w:rPr>
        <w:t>E. 3</w:t>
      </w:r>
    </w:p>
    <w:p>
      <w:r>
        <w:t>Der Kläger gelangte in der Folge mit Beschwerde in Zivilsachen an das Bundesgericht. Die Präsidentin der II. zivilrechtlichen Abteilung des Bundesge- richts erkannte der Beschwerde mit Verfügung vom 21. März 2012 aufschiebende Wirkung zu. Sodann hiess die II. zivilrechtliche Abteilung des Bundesgerichts am 21. Juni 2012 die Beschwerde gut, soweit darauf eingetreten wurde, und hob das Urteil des Obergerichts, I. Zivilkammer, vom 27. Januar 2012 auf. Gleichzeitig wurde die Sache an das Bezirksgericht Uster zur Beurteilung der Klage vom 26. Oktober 2009 zurückgewiesen (Urk. 78 S. 4, 10). Ebenso wurde die Sache zur Neuverlegung der Kosten und Entschädigungen des kantonalen Berufungsverfah- rens an die urteilende Kammer zurückgewiesen (Urk. 78 S. 10, Dispo-Ziff. 4).</w:t>
      </w:r>
    </w:p>
    <w:p>
      <w:r>
        <w:rPr>
          <w:b/>
        </w:rPr>
        <w:t>E. 4</w:t>
      </w:r>
    </w:p>
    <w:p>
      <w:r>
        <w:t>Am 26. Juli 2012 ersuchte der Rechtsvertreter des Klägers, den vom Kläger geleisteten Kostenvorschuss von Fr. 16'750.– so bald als möglich zurückzuerstat- ten (Urk. 79).</w:t>
      </w:r>
    </w:p>
    <w:p>
      <w:r>
        <w:t>- 3 -</w:t>
      </w:r>
    </w:p>
    <w:p>
      <w:r>
        <w:rPr>
          <w:b/>
        </w:rPr>
        <w:t>E. 5</w:t>
      </w:r>
    </w:p>
    <w:p>
      <w:r>
        <w:t>Für das Berufungsverfahren LB110045, für welches nunmehr die Kosten- und Entschädigungsfolgen neu zu regeln sind, gelangt die am 1. Januar 2011 in Kraft getretene Zivilprozessordnung zur Anwendung (Art. 405 Abs. 1 ZPO). Das Urteil des Bundesgerichts bewirkt, dass die Beklagten 1 und 2 betreffend die im Verfahren LB110045 zentrale Frage des Eintretens auf die Klage unterliegen, ha- ben sie doch die Bestätigung des erstinstanzlichen Entscheides beantragt, wo- nach auf die Klage nicht einzutreten sei. Sie werden daher für das Berufungsver- fahren je zur Hälfte kosten- und entschädigungspflichtig, je unter solidarischer Haftung für das Ganze (Art. 106 Abs. 1 ZPO, Art. 95 ZPO).</w:t>
      </w:r>
    </w:p>
    <w:p>
      <w:r>
        <w:rPr>
          <w:b/>
        </w:rPr>
        <w:t>E. 6</w:t>
      </w:r>
    </w:p>
    <w:p>
      <w:r>
        <w:t>Der Streitwert ist in Übereinstimmung mit der Vorinstanz auf Fr. 300'000.– zu veranschlagen (Urk. 62 S. 15 in LB110045). Die Entscheidgebühr für das Be- rufungsverfahren ist nach § 12 Abs. 1 in Verbindung mit § 4 Abs. 1 sowie § 9 Abs. 2 GebV OG auf Fr. 8'500.– festzusetzen. Die Parteientschädigung für den Kläger ist in Anwendung von § 13 Abs. 2 in Verbindung mit § 4 Abs. 1 AnwGebV auf Fr. 6'500.– zuzüglich 8 % Mehrwertsteuer festzulegen. Mit Bezug auf den Nebenin- tervenienten gilt, dass in Anwendung der bisherigen bundesgerichtlichen Praxis keine Parteientschädigung zuzusprechen ist (Jenny, in: Sutter/Somm- Hasenböhler, ZPO Komm., Art. 106 N 19; ebenso: Adrian Urwyler, DIKE-Komm- ZPO, Art. 106 N 9).</w:t>
      </w:r>
    </w:p>
    <w:p>
      <w:r>
        <w:rPr>
          <w:b/>
        </w:rPr>
        <w:t>E. 7</w:t>
      </w:r>
    </w:p>
    <w:p>
      <w:r>
        <w:t>Dem Antrag des Klägers auf Rückerstattung des Kostenvorschusses kann nicht gefolgt werden. Der Gesetzgeber hat in Art. 111 Abs. 1 ZPO die Grundlage geschaffen, dass die Gerichtskosten mit den geleisteten Vorschüssen der Partei- en verrechnet werden. In Anwendung von Art. 111 Abs. 2 ZPO sind indes die kos- tenpflichtigen Parteien - unter solidarischer Haftung - zu verpflichten, den geleiste- ten Vorschuss, soweit er zur Deckung der Gerichtskosten herangezogen wird, zu ersetzen.</w:t>
      </w:r>
    </w:p>
    <w:p>
      <w:r>
        <w:rPr>
          <w:b/>
        </w:rPr>
        <w:t>E. 8</w:t>
      </w:r>
    </w:p>
    <w:p>
      <w:r>
        <w:t>Für das vorliegende Verfahren sind keine Kosten zu erheben (Art. 107 Abs. 2 ZPO). Eine Entschädigungspflicht des Staates zugunsten der "obsiegenden" Partei besteht in solchen Fällen nicht (Urwyler, DIKE-Komm-ZPO, Art. 107 N 12).</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