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LB120060 vom 30. August 2012</w:t>
      </w:r>
    </w:p>
    <w:p>
      <w:r>
        <w:t>ZH Obergericht, 2012-08-30, DE</w:t>
      </w:r>
    </w:p>
    <w:p>
      <w:r>
        <w:rPr>
          <w:b/>
        </w:rPr>
        <w:t xml:space="preserve">Quelle: </w:t>
      </w:r>
      <w:r>
        <w:t>https://mcp.opencaselaw.ch/entscheid/zh_obergericht_LB120060</w:t>
      </w:r>
    </w:p>
    <w:p>
      <w:r>
        <w:t>FR: ZH_OBERGERICHT LB120060 du 30 août 2012</w:t>
      </w:r>
    </w:p>
    <w:p>
      <w:r>
        <w:t>IT: ZH_OBERGERICHT LB120060 del 30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Klägerin machte die vorliegende Klage gegen den Beklagten mit Wohnsitz in Deutschland am 3. Juni 2011 beim Bezirksgericht Zürich anhängig (act. 4/1). Sie stützte sich dabei auf eine mit dem Beklagten abgeschlossene Vereinbarung vom 19. Dezember 2007 betreffend Vermittlung von Planungsprojekten, welche eine Gerichtsstandsvereinbarung enthält, und machte vertragliche Ansprüche ge- genüber dem Beklagten geltend (act. 4/1 S. 2 ff. und act. 4/3/2). Der Beklagte be- stritt mit seiner Klageantwort vom 23. Februar 2012 vorab die sachliche Zustän- digkeit des Gerichts. Zuständig sei gemäss Art. 6 Abs. 2 ZPO das Handelsgericht des Kantons Zürich (act. 4/25 S. 2). Mit Beschluss vom 25. Mai 2012 wies die</w:t>
      </w:r>
    </w:p>
    <w:p>
      <w:r>
        <w:rPr>
          <w:b/>
        </w:rPr>
        <w:t>E. 4</w:t>
      </w:r>
    </w:p>
    <w:p>
      <w:r>
        <w:t>Bei diesem Ausgang des Verfahrens hat der Beklagte die Prozesskosten des Berufungsverfahrens zu tragen (Art. 106 Abs. 1 ZPO). Die Entscheidgebühr ist auf Fr. 3'000.-- festzusetzen (vgl. dazu act. 5). Mangels Umtrieben ist der Klägerin keine Parteientschädigung zuzusprechen.</w:t>
      </w:r>
    </w:p>
    <w:p>
      <w:r>
        <w:t>- 6 -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