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LB120023 vom 23. Mai 2012</w:t>
      </w:r>
    </w:p>
    <w:p>
      <w:r>
        <w:t>ZH Obergericht, 2012-05-23, DE</w:t>
      </w:r>
    </w:p>
    <w:p>
      <w:r>
        <w:rPr>
          <w:b/>
        </w:rPr>
        <w:t xml:space="preserve">Quelle: </w:t>
      </w:r>
      <w:r>
        <w:t>https://mcp.opencaselaw.ch/entscheid/zh_obergericht_LB120023</w:t>
      </w:r>
    </w:p>
    <w:p>
      <w:r>
        <w:t>FR: ZH_OBERGERICHT LB120023 du 23 mai 2012</w:t>
      </w:r>
    </w:p>
    <w:p>
      <w:r>
        <w:t>IT: ZH_OBERGERICHT LB120023 del 23 maggio 2012</w:t>
      </w:r>
    </w:p>
    <w:p>
      <w:pPr>
        <w:pStyle w:val="Heading2"/>
      </w:pPr>
      <w:r>
        <w:t>Erwägungen</w:t>
      </w:r>
    </w:p>
    <w:p>
      <w:r>
        <w:rPr>
          <w:b/>
        </w:rPr>
        <w:t>E. 1</w:t>
      </w:r>
    </w:p>
    <w:p>
      <w:r>
        <w:t>Die Parteien lebten seit 1997 in einer eheähnlichen Beziehung. Die Kläge- rin nimmt den Beklagten aus einem schriftlichen Schenkungsversprechen in An- spruch, welches er anlässlich eines Hafturlaubes am 17. Februar 2004 abgege- ben hat. Im vorliegenden Verfahren ist nur noch zu klären, ob der Beklagte an je- nem Abend bei der Unterzeichnung dieser Vereinbarung urteilsfähig war.</w:t>
      </w:r>
    </w:p>
    <w:p>
      <w:r>
        <w:rPr>
          <w:b/>
        </w:rPr>
        <w:t>E. 2</w:t>
      </w:r>
    </w:p>
    <w:p>
      <w:r>
        <w:t>Der Prozess wurde im Jahre 2004 bei der Vorinstanz rechtshängig ge- macht. Mit Urteil vom 11. Mai 2006 wurde die Klage zunächst abgewiesen (CG040064; act. 59) und auf Berufung der Klägerin hin die Sache mit Beschluss vom 4. September 2006 zu neuem Entscheid an die Vorinstanz zurückgewiesen (LB060076; act. 81). Mit Urteil vom 27. November 2006 wies die Vorinstanz die Klage erneut ab (CG060052; act. 84), was zu einem neuerlichen Berufungsver- fahren führte (LB060129). Mit Beschlüssen und Vor-Urteil vom 6. November 2007 wurde bezüglich des Hilfsanspruches gemäss Rechtsbegehren Ziff. 1 das Verfah- ren als gegenstandslos abgeschrieben (act. 134 S. 30), die Änderung des Rechtsbegehrens Ziff. 2-4 zugelassen (act. 134 S. 30) und im Sinne eines Vor- Urteils festgestellt, dass die auf Art. 21 OR gestützte Anfechtung des Vertrages der Parteien vom 17. Februar 2004 durch den Beklagten verwirkt sei (act. 134 S. 31). Ausserdem wurde die Beschränkung des Prozessthemas für das Berufungs- verfahren, welches mit Beschluss vom 22. Februar 2007 (act. 100) angeordnet worden war, wieder aufgehoben (act. 134 S. 32). Mit Rückweisungsbeschluss vom 16. Juni 2008 wurde das vorinstanzliche Urteil dann erneut aufgehoben – soweit es nicht bereits durch die Beschlüsse und das Vorurteil der Kammer vom</w:t>
      </w:r>
    </w:p>
    <w:p>
      <w:r>
        <w:rPr>
          <w:b/>
        </w:rPr>
        <w:t>E. 6</w:t>
      </w:r>
    </w:p>
    <w:p>
      <w:r>
        <w:t>Schriftliche Mitteilung an die Parteien, an die Klägerin unter Beilage des Doppels von act. 233, sowie an das Bezirksgericht Horgen und an die Obergerichtskasse, je gegen Empfangsschein. Nach unbenutztem Ablauf der Rechtsmittelfrist gehen die erstinstanzlichen Akten an die Vorinstanz zurück.</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327’500.--. Die Beschwerde an das Bundesgericht hat keine aufschiebende Wirkung.</w:t>
      </w:r>
    </w:p>
    <w:p>
      <w:r>
        <w:t>- 27 - Obergericht des Kantons Zürich II. Zivilkammer Die Vorsitzende: Die Gerichtsschreiberin: lic. iur. A. Katzenstein lic. iur. S. Bohli Roth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