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LB120016 vom 16. Januar 2013</w:t>
      </w:r>
    </w:p>
    <w:p>
      <w:r>
        <w:t>ZH Obergericht, 2013-01-16, DE</w:t>
      </w:r>
    </w:p>
    <w:p>
      <w:r>
        <w:rPr>
          <w:b/>
        </w:rPr>
        <w:t xml:space="preserve">Quelle: </w:t>
      </w:r>
      <w:r>
        <w:t>https://mcp.opencaselaw.ch/entscheid/zh_obergericht_LB120016</w:t>
      </w:r>
    </w:p>
    <w:p>
      <w:r>
        <w:t>FR: ZH_OBERGERICHT LB120016 du 16 janvier 2013</w:t>
      </w:r>
    </w:p>
    <w:p>
      <w:r>
        <w:t>IT: ZH_OBERGERICHT LB120016 del 16 gennaio 2013</w:t>
      </w:r>
    </w:p>
    <w:p>
      <w:pPr>
        <w:pStyle w:val="Heading2"/>
      </w:pPr>
      <w:r>
        <w:t>Erwägungen</w:t>
      </w:r>
    </w:p>
    <w:p>
      <w:r>
        <w:rPr>
          <w:b/>
        </w:rPr>
        <w:t>E. 1</w:t>
      </w:r>
    </w:p>
    <w:p>
      <w:r>
        <w:t>Am 15. Januar 2008 machte J._____, der Ehemann und Vater der Berufungs- beklagten, beim Bezirksgericht Affoltern den vorliegenden Prozess mit der Wei- sung des Friedensrichters sowie einer schriftlichen Klagebegründung rechtshän- gig. Die Klagebeantwortung erfolgte im schriftlichen Verfahren, die Fortsetzung des Hauptverfahrens mit Replik und Duplik anlässlich einer mündlichen Verhand- lung am 7. Mai 2008. In der Folge fanden am 19. März 2009, 12. Mai 2009 und 3. September 2009 gerichtliche Vergleichsverhandlungen statt, welche zu keiner Ei- nigung führten. Nachdem der Kläger am 1. April 2010 verstorben war und seine Ehefrau und die zwei Töchter als Erben in den Prozess eingetreten waren, wur- den am 23. März 2011 und 11. Juli 2011 zwei weitere gerichtliche Vergleichver-</w:t>
      </w:r>
    </w:p>
    <w:p>
      <w:r>
        <w:t>- 4 - handlungen durchgeführt, welche aber ebenfalls zu keiner Einigung führten, ebensowenig aussergerichtlich geführte Vergleichsgespräche. Nach Abklärungen bezüglich der Höhe der Grundstückgewinnsteuern durch das Gericht erliess die- ses schliesslich am 22. Dezember 2011 das Urteil.</w:t>
      </w:r>
    </w:p>
    <w:p>
      <w:r>
        <w:rPr>
          <w:b/>
        </w:rPr>
        <w:t>E. 2</w:t>
      </w:r>
    </w:p>
    <w:p>
      <w:r>
        <w:t>Die Klägerinnen haben ihr Begehren in der vorinstanzlichen Klagebegründung zunächst aus dem Vertragsrecht, konkret einem Vertrag zugunsten Dritter, abge- leitet (Urk. 2 S. 10). In der Klagereplik haben sie ihr Begehren mit erbrechtlichen Argumenten - erbrechtlicher Teilungs- und Ausgleichungsanspruch - untermauert (Urk. 21 S. 29ff). Die Vorinstanz hat diese Änderung der rechtlichen Anspruchs- grundlage unter dem Aspekt der Klageidentität und der Klageänderung geprüft und als Klageänderung gemäss § 61 Abs. 1 ZPO/ZH für zulässig erklärt. Sie hat erkannt, dass die Klägerinnen ihre Ansprüche stets aus demselben Rechtsver- hältnis abgeleitet haben und damit der erforderliche enge Zusammenhang zwi-</w:t>
      </w:r>
    </w:p>
    <w:p>
      <w:r>
        <w:t>- 7 - schen dem ursprünglichen und dem abgeänderten Rechtsbegehren bestehe (Urk. 79 S.10ff). Die Beklagten setzen sich in ihrer Berufung nicht mit der voll- ständigen Argumentation der Vorinstanz zu den unterschiedlichen rechtlichen Ar- gumentationen der Klägerinnen und zur Klageänderung auseinander, sondern verweisen einzig auf das von der Vorinstanz in ihren Erwägungen - notgedrun- genermassen auch - zitierte ursprüngliche, auf vertragliche Ansprüche gestützte Rechtsbegehren gemäss Klageschrift (Urk. 78 S. 3). Damit vermögen sie die zu- treffenden vorinstanzlichen Erwägungen unter Berücksichtigung der späteren, prozessual zulässigen Argumentation in der Replik nicht in Frage zu stellen. Offen bleiben kann, ob nicht überhaupt Klageidentität vorliegt. Nach der bundesgericht- lichen Rechtsprechung können nämlich nachträgliche Ausgleichungsklagen über einzelne Erbschaftswerte grundsätzlich auch in der Form einer Leistungsklage er- folgen (BGE 123 III 49).</w:t>
      </w:r>
    </w:p>
    <w:p>
      <w:r>
        <w:rPr>
          <w:b/>
        </w:rPr>
        <w:t>E. 2.1</w:t>
      </w:r>
    </w:p>
    <w:p>
      <w:r>
        <w:t>Der zwischen L._____ und K._____ abgeschlossene Vertrag statuiert eine Gewinnbeteiligung, falls die Kaufsobjekte innert 15 Jahren, "vom Tage der Eigen- tumsübertragung an gerechnet, ganz oder teilweise weiterveräussert" werden. Der Beginn der Frist ist damit klar definiert als Eigentumsübertragung, somit ab dem grundbuchlichen Vollzug. Dieser hat am 1. Oktober 1962 stattgefunden (Urk. 4/1). Der Ausdruck "Weiterveräusserung" innert der massgeblichen Frist ist dage- gen interpretationsbedürftig. Da dafür ein anderes Wort als für den Beginn der Frist gewählt wurde, kann nicht automatisch davon ausgegangen werden, der massgebliche Zeitpunkt bei der Weiterveräusserung sei wie beim Fristbeginn die grundbuchliche Eigentumsübertragung. Der Kaufvertrag zwischen L._____ und K._____ wurde vom zuständigen Notar öf- fentlich beurkundet, somit einer amtlichen Gewährsperson. Es ist davon auszu- gehen, dass dieser für die Formulierung dieser Bestimmung verantwortlich war und er diese Bestimmung in den Kaufvertrag aufgenommen hat im Wissen da- rum, dass das gesetzlich statuierte Gewinnanteilsrecht für Miterben im Falle von Erbvorbezügen nicht automatisch Platz griff und daher ausdrücklich vereinbart werden musste. Es liegt daher nahe, für die Bestimmung der Fristwahrung auf die gesetzliche Regelung des Gewinnanteils der Miterben bei der Erbteilung im bäu- erlichen Erbrecht zurückzugreifen. Die 1962 gültige Fassung von aArt. 619 Abs. 1 ZGB sah ein Gewinnanteilsrecht der Miterben "beim Verkauf" des Grundstückes binnen der folgenden fünfzehn Jahre ab "Erhalt" des Grundstücks durch den Er-</w:t>
      </w:r>
    </w:p>
    <w:p>
      <w:r>
        <w:t>- 12 - ben vor. Auch diese gesetzliche Bestimmung verwendet unterschiedliche Ausdrü- cke für den Beginn und das Ende der Frist. Unter einem Verkauf versteht man sodann in der Regel das obligatorische Geschäft. Auch die damaligen massgebli- chen Kommentatoren zum bäuerlichen Erbrecht bzw. Sachenrecht legten den Ausdruck "Verkauf" des aArt. 619 ZGB - zumindest im Verhältnis zu den Miterben - als Abschluss des obligatorischen Vertrages aus und nicht als Eigentumsüber- gang. Dies u.a. mit der Begründung, der obligatorische Kaufvertrag sei das Mo- ment der Gewinnerzielung, und die Eigentumsübertragung lasse sich beliebig hinauszögern und damit den Gewinnanteilsanspruch der Erben umgehen (vgl. A. Escher, Zürcher Kommentar, 3. Aufl. (1960), N 12 zu Art. 619 ZGB; V. Picenoni, Berner Kommentar, 2. Aufl. (1964), N 11a zu Art. 619 ZGB; A. Homberger, Zür- cher Kommentar, 2. Aufl. (1938) N 69 zu Art. 959 ZGB). Dieser damals herr- schenden Auffassung schloss sich später auch der Gesetzgeber an, welcher aus- drücklich den Vertragsabschluss innerhalb der Frist als massgeblich bezeichnete (Art. 28 und Art. 29 Abs. 2 lit. a BGBB). Damit ist auch vorliegend der Abschluss des obligatorischen Kaufgeschäftes massgeblich für die Feststellung, ob die Veräusserung der Grundstücke an H._____ und I._____ noch in die vereinbarte 15 - Jahresfrist gefallen sind.</w:t>
      </w:r>
    </w:p>
    <w:p>
      <w:r>
        <w:rPr>
          <w:b/>
        </w:rPr>
        <w:t>E. 2.2</w:t>
      </w:r>
    </w:p>
    <w:p>
      <w:r>
        <w:t>Was die Beklagten im Berufungsverfahren (Urk. 78 S. 5f) weiter gegen die Unmassgeblichkeit des obligatorischen Geschäfts bzw. die Massgeblichkeit des grundbuchlichen Eigentumsübergangs anführen, überzeugt nicht. Die vorzitierten Vertrags- und Gesetzesbestimmungen befassen sich allein mit der Massgeblichkeit der Veräusserung der Grundstücke, nicht aber mit deren ef- fektiven Nutzung. Aufgrund entsprechender Vereinbarungen (Pachtvertrag, Dienstbarkeiten etc.) können Eigentümer- und Nutzungsbefugnisse ohne weiteres auf verschiedene Personen aufgeteilt sein. Gemäss Ziffer 1 Abs. 2 des Kaufver- trages mit H._____ war sogar eine Nutzung durch den Verkäufer noch über die Eigentumsübertragung hinaus möglich (Urk. 4/2), während umgekehrt I._____ das Grundstück bereits vor der Eigentumsübertragung nutzen durfte (Urk. 22/2). Damit tangierten ausdrücklich weder Kaufvertrag noch Eigentumsübergang die Nutzung und die Nutzung ist als massgebliches zeitliches Kriterium daher nicht</w:t>
      </w:r>
    </w:p>
    <w:p>
      <w:r>
        <w:t>- 13 - tauglich. Sowohl dem Käufer H._____ als auch dem Käufer I._____ war für den Eintritt be- stimmter Bedingungen ein Rücktrittsrecht vom Kaufvertrag eingeräumt worden (Urk. 4/2 Ziffer 8 und 9 der Weiteren Bestimmungen, Urk. 4/3 Ziffer 7 der Weite- ren Bestimmungen). Bis zum Eintritt eines allfälligen Rücktritts- bzw. Vertragsauf- lösungsgrundes waren diese Kaufverträge indessen gültig abgeschlossen, der vereinbarte Kaufpreis geschuldet und einforderbar. Damit stand aber auch der Gewinn fest. Im Übrigen erfolgte bei keinem Vertrag ein Rücktritt. Fällt ein Käufer zwischen dem Abschluss des obligatorischen Kaufvertrages und der Eigentumsübertragung in Konkurs und bleibt er deswegen den Kaufpreis schuldig, so realisiert der Verkäufer keinen Gewinn und das Gewinnanteilsrecht kommt grundsätzlich nicht zum Tragen. Insofern spielt der massgebliche Zeit- punkt für das Entstehen des Gewinnanteilsrechts keine Rolle. Aus dem Kaufvertrag mit H._____ wurde unbestritternermassen ein Gewinn er- zielt, die entsprechende Forderung des Verkäufers entstand mit dem Abschluss des Kaufvertrages mit H._____. Dass dieser Gewinn nicht von H._____ persön- lich bezahlt wurde, sondern von den in seine Käuferstellung gemäss Kaufvertrag eingetretenen nachmaligen 30 Hauseigentümern, ist irrelevant. K._____ war wohl berechtigt, vor der Gewinnermittlung vom Verkaufserlös zu- nächst noch allfällige Investitionen und Ersatzanschaffungen abzuziehen (vgl. Urk. 4/1 Ziffer 7 der Weiteren Bestimmungen, aArt. 619 Abs. 3 ZGB). Damit ge- meint sind selbstverständlich die vor dem Verkauf in die Verkaufsliegenschaft ge- tätigten Investitionen und nicht die aus dem nachmaligen Verkaufserlös finanzier- ten anderweitiger Ersatzbeschaffungen und Investitionen gleich welcher Art. Die erstgenannten Ersatzanschaffungen stehen im Moment des Vertragsabschlusses bereits fest, beeinflussen allenfalls gar den Verkaufspreis und sind deshalb kein Indiz für die Massgeblichkeit erst des späteren Eigentumsübergangs im Hinblick auf die 15-Jahresfrist. Tätigt ein Verkäufer zwischen Vertragsabschluss und Ei- gentumsübertragung freiwillig noch Investitionen in das Verkaufsobjekt, ohne dass diese bereits beim Kaufpreis berücksichtigt worden sind, so tut er dies be- wusst auf eigene Gefahr.</w:t>
      </w:r>
    </w:p>
    <w:p>
      <w:r>
        <w:t>- 14 - Dass die Steuerbehörden für die Veranlagung der Handänderungssteuern auf den effektiven Eigentumsübergang abstellen, hat keinen Einfluss auf die vorlie- gende Streitfrage. Die Steuerbehörden richten sich nach dem ausdrücklichen Wortlaut der "Handänderung", welcher nicht identisch ist mit dem Ausdruck "Ver- äusserung" und spezifischer auf einen Besitzesübergang hinweist. Die Steuerver- anlagung und der Gewinnanteilsanspruch der Miterben haben sodann eine unter- schiedliche Stossrichtung und unterschiedliche Fälligkeiten und beinhalten keinen ungerechtfertigten Widerspruch.</w:t>
      </w:r>
    </w:p>
    <w:p>
      <w:r>
        <w:rPr>
          <w:b/>
        </w:rPr>
        <w:t>E. 2.3</w:t>
      </w:r>
    </w:p>
    <w:p>
      <w:r>
        <w:t>Die 15-Jahresfrist für die Gewinnbeteiligung der Miterben begann vorliegend mit dem Eintrag des Betriebsübergangs im Grundbuch zu laufen, somit am 1. Ok- tober 1962 (Urk. 4/1), und lief Anfang Oktober 1977 ab. Der Vertrag mit H._____ wurde am 15. April 1977 beurkundet, derjenige mit I._____ am 9. Juni 1977 (Urk. 4/4 und 4/3). Damit standen Verkaufspreis und Gewinn fest. Nach den vorstehen- den Ausführungen sind diese Daten massgeblich. An beiden Verkaufsgeschäften entstand demnach der Gewinnanteilsanspruch der Miterben. Dass - wie im voraus vereinbart (Urk. 4/2 Ziffer 5 der Weiteren Bestimmungen) - später 30 Hauseigen- tümer anstelle von H._____ und unter dessen solidarischer Weiterhaftung in den Vertrag eintraten bzw. dessen Rechte und Pflichten aus dem Vertrag übernah- men, spielt keine Rolle, da sie am Anspruch von K._____ auf den vereinbarten Kaufpreis und am Erfüllungsanspruch der Gegenpartei nichts änderten.</w:t>
      </w:r>
    </w:p>
    <w:p>
      <w:r>
        <w:rPr>
          <w:b/>
        </w:rPr>
        <w:t>E. 3</w:t>
      </w:r>
    </w:p>
    <w:p>
      <w:r>
        <w:t>Die erstinstanzlichen Gerichtskosten werden den Beklagten und Berufungs- klägern unter solidarischer Haftung auferlegt.</w:t>
      </w:r>
    </w:p>
    <w:p>
      <w:r>
        <w:rPr>
          <w:b/>
        </w:rPr>
        <w:t>E. 4</w:t>
      </w:r>
    </w:p>
    <w:p>
      <w:r>
        <w:t>Die Beklagten und Berufungskläger werden unter solidarischer Haftung ver- pflichtet, den Klägerinnen und Berufungsbeklagten für das erstinstanzliche Verfahren eine Prozessentschädigung von Fr. 32'736.- (Mehrwertsteuer in- begriffen) zu bezahlen.</w:t>
      </w:r>
    </w:p>
    <w:p>
      <w:r>
        <w:rPr>
          <w:b/>
        </w:rPr>
        <w:t>E. 5</w:t>
      </w:r>
    </w:p>
    <w:p>
      <w:r>
        <w:t>Die zweitinstanzliche Entscheidgebühr wird auf Fr. 19'000.- festgesetzt.</w:t>
      </w:r>
    </w:p>
    <w:p>
      <w:r>
        <w:rPr>
          <w:b/>
        </w:rPr>
        <w:t>E. 6</w:t>
      </w:r>
    </w:p>
    <w:p>
      <w:r>
        <w:t>Die Gerichtskosten für das zweitinstanzliche Verfahren werden den Beklag- ten und Berufungsklägern unter solidarischer Haftung auferlegt und mit ihren Kostenvorschüssen verrechnet. Der von den Berufungsbeklagten und Anschlussberufungsklägerinnen ge- leistete Kostenvorschuss wird diesen nach rechtskräftiger Erledigung des Verfahrens herausgegeben.</w:t>
      </w:r>
    </w:p>
    <w:p>
      <w:r>
        <w:rPr>
          <w:b/>
        </w:rPr>
        <w:t>E. 7</w:t>
      </w:r>
    </w:p>
    <w:p>
      <w:r>
        <w:t>Die Beklagten und Berufungskläger werden solidarisch verpflichtet, den Klä- gerinnen und Berufungsbeklagten für das Berufungsverfahren eine Partei- entschädigung von Fr. 8'000.- (Mehrwertsteuer inbegriffen) zu bezahlen.</w:t>
      </w:r>
    </w:p>
    <w:p>
      <w:r>
        <w:rPr>
          <w:b/>
        </w:rPr>
        <w:t>E. 8</w:t>
      </w:r>
    </w:p>
    <w:p>
      <w:r>
        <w:t>Schriftliche Mitteilung an die Parteien sowie an das Bezirksgericht Affoltern,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- 19 - Es handelt sich um eine vermögensrechtliche Angelegenheit. Der Streitwert beträgt Fr. 413'322.--. Die Beschwerde an das Bundesgericht hat keine aufschiebende Wirkung. Hinsichtlich des Fristenlaufs gelten die Art. 44 ff. BGG. Zürich, 16. Januar 2013 Obergericht des Kantons Zürich I. Zivilkammer Der Präsident: Der Gerichtsschreiber: Dr. R. Klopfer lic. iur. Ch. Büchi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