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LB110070 vom 5. Juli 2012</w:t>
      </w:r>
    </w:p>
    <w:p>
      <w:r>
        <w:t>ZH Obergericht, 2012-07-05, DE</w:t>
      </w:r>
    </w:p>
    <w:p>
      <w:r>
        <w:rPr>
          <w:b/>
        </w:rPr>
        <w:t xml:space="preserve">Quelle: </w:t>
      </w:r>
      <w:r>
        <w:t>https://mcp.opencaselaw.ch/entscheid/zh_obergericht_LB110070</w:t>
      </w:r>
    </w:p>
    <w:p>
      <w:r>
        <w:t>FR: ZH_OBERGERICHT LB110070 du 5 juillet 2012</w:t>
      </w:r>
    </w:p>
    <w:p>
      <w:r>
        <w:t>IT: ZH_OBERGERICHT LB110070 del 5 luglio 2012</w:t>
      </w:r>
    </w:p>
    <w:p>
      <w:pPr>
        <w:pStyle w:val="Heading2"/>
      </w:pPr>
      <w:r>
        <w:t>Erwägungen</w:t>
      </w:r>
    </w:p>
    <w:p>
      <w:r>
        <w:rPr>
          <w:b/>
        </w:rPr>
        <w:t>E. 2</w:t>
      </w:r>
    </w:p>
    <w:p>
      <w:r>
        <w:t>Die Gerichtskosten für das erstinstanzliche Verfahren werden auf Fr. 2'500.-- festgesetzt und der Klägerin auferlegt.</w:t>
      </w:r>
    </w:p>
    <w:p>
      <w:r>
        <w:rPr>
          <w:b/>
        </w:rPr>
        <w:t>E. 3</w:t>
      </w:r>
    </w:p>
    <w:p>
      <w:r>
        <w:t>Die zweitinstanzliche Entscheidgebühr wird auf Fr. 2'500.-- festgesetzt.</w:t>
      </w:r>
    </w:p>
    <w:p>
      <w:r>
        <w:rPr>
          <w:b/>
        </w:rPr>
        <w:t>E. 4</w:t>
      </w:r>
    </w:p>
    <w:p>
      <w:r>
        <w:t>Die Gerichtskosten für das zweitinstanzliche Verfahren werden der Klägerin auferlegt und mit dem vom Beklagten geleisteten Kostenvorschuss verrech- net. Die Klägerin wird verpflichtet, dem Beklagten den geleisteten Vorschuss von Fr. 2'500.-- zu ersetzen.</w:t>
      </w:r>
    </w:p>
    <w:p>
      <w:r>
        <w:rPr>
          <w:b/>
        </w:rPr>
        <w:t>E. 5</w:t>
      </w:r>
    </w:p>
    <w:p>
      <w:r>
        <w:t>Die Klägerin wird verpflichtet, dem Beklagten für beide Verfahren eine Par- teientschädigung von total Fr. 6'300.-- zu bezahlen.</w:t>
      </w:r>
    </w:p>
    <w:p>
      <w:r>
        <w:rPr>
          <w:b/>
        </w:rPr>
        <w:t>E. 6</w:t>
      </w:r>
    </w:p>
    <w:p>
      <w:r>
        <w:t>Schriftliche Mitteilung an die Parteien, sowie an das Bezirksgericht Bülach, II. Abteilung, je gegen Empfangsschein. Nach unbenutztem Ablauf der Rechtsmittelfrist gehen die erstinstanzlichen Akten an die Vorinstanz zurück.</w:t>
      </w:r>
    </w:p>
    <w:p>
      <w:r>
        <w:t>- 14 -</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21'632.15. Die Beschwerde an das Bundesgericht hat keine aufschiebende Wirkung. Hinsichtlich des Fristenlaufs gelten die Art. 44 ff. BGG. Zürich, 5. Juli 2012 Obergericht des Kantons Zürich I. Zivilkammer Der Vorsitzende: Die Gerichtsschreiberin: Dr. R. Klopfer lic. iur. E. Iseli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