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LB110050 vom 14. Mai 2012</w:t>
      </w:r>
    </w:p>
    <w:p>
      <w:r>
        <w:t>ZH Obergericht, 2012-05-14, DE</w:t>
      </w:r>
    </w:p>
    <w:p>
      <w:r>
        <w:rPr>
          <w:b/>
        </w:rPr>
        <w:t xml:space="preserve">Quelle: </w:t>
      </w:r>
      <w:r>
        <w:t>https://mcp.opencaselaw.ch/entscheid/zh_obergericht_LB110050</w:t>
      </w:r>
    </w:p>
    <w:p>
      <w:r>
        <w:t>FR: ZH_OBERGERICHT LB110050 du 14 mai 2012</w:t>
      </w:r>
    </w:p>
    <w:p>
      <w:r>
        <w:t>IT: ZH_OBERGERICHT LB110050 del 14 maggio 2012</w:t>
      </w:r>
    </w:p>
    <w:p>
      <w:pPr>
        <w:pStyle w:val="Heading2"/>
      </w:pPr>
      <w:r>
        <w:t>Erwägungen</w:t>
      </w:r>
    </w:p>
    <w:p>
      <w:r>
        <w:rPr>
          <w:b/>
        </w:rPr>
        <w:t>E. 6</w:t>
      </w:r>
    </w:p>
    <w:p>
      <w:r>
        <w:t>Der Beklagte wird verpflichtet, den Klägern gemeinsam für das Berufungs- verfahren eine reduzierte Parteientschädigung von Fr. 4'212.- zu bezahlen.</w:t>
      </w:r>
    </w:p>
    <w:p>
      <w:r>
        <w:rPr>
          <w:b/>
        </w:rPr>
        <w:t>E. 7</w:t>
      </w:r>
    </w:p>
    <w:p>
      <w:r>
        <w:t>Schriftliche Mitteilung an die Parteien sowie an das Bezirksgericht Dielsdorf, II.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- 35 - Es handelt sich um eine vermögensrechtliche Angelegenheit. Der Streitwert beträgt Fr. 91'740.-. Die Beschwerde an das Bundesgericht hat keine aufschiebende Wirkung. Hinsichtlich des Fristenlaufs gelten die Art. 44 ff. BGG. Zürich, 14. Mai 2012 Obergericht des Kantons Zürich I. Zivilkammer Der Präsident: Der Gerichtsschreiber: Dr. R. Klopfer lic. iur. S. Clausen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