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LB110029 vom 8. November 2012</w:t>
      </w:r>
    </w:p>
    <w:p>
      <w:r>
        <w:t>ZH Obergericht, 2012-11-08, DE</w:t>
      </w:r>
    </w:p>
    <w:p>
      <w:r>
        <w:rPr>
          <w:b/>
        </w:rPr>
        <w:t xml:space="preserve">Quelle: </w:t>
      </w:r>
      <w:r>
        <w:t>https://mcp.opencaselaw.ch/entscheid/zh_obergericht_LB110029</w:t>
      </w:r>
    </w:p>
    <w:p>
      <w:r>
        <w:t>FR: ZH_OBERGERICHT LB110029 du 8 novembre 2012</w:t>
      </w:r>
    </w:p>
    <w:p>
      <w:r>
        <w:t>IT: ZH_OBERGERICHT LB110029 del 8 novembre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Klageschrift vom 30. Juni 2005 machten die Kläger, Berufungsbeklag- ten und Anschlussberufungskläger (fortan Kläger) das Verfahren bei der Vo- rinstanz anhängig (Urk. 1, Urk. 2). Mit Urteil vom 11. April 2011 hiess die Vo- rinstanz ihre Klagen teilweise gut (Urk. 190).</w:t>
      </w:r>
    </w:p>
    <w:p>
      <w:r>
        <w:rPr>
          <w:b/>
        </w:rPr>
        <w:t>E. 2</w:t>
      </w:r>
    </w:p>
    <w:p>
      <w:r>
        <w:t>Mit seiner Berufung vom 30. Mai 2011 beantragte der Beklagte, Beru- fungskläger und Anschlussberufungsbeklagte (fortan Beklagter) die vollumfängli- che Abweisung der Klage (Urk. 189). Die Kläger erstatteten die Berufungsantwort am 26. August 2011 (Urk. 195). Gleichzeitig erhoben sie Anschlussberufung, wo- mit sie die vollumfängliche Gutheissung der Klagen beantragten (Urk. 196). Die Anschlussberufungsantwort ging am 22. November 2011 ein und wurde den Klä- gern am 13. Dezember 2011 zugestellt (Urk. 203). Beide Parteien leisteten recht- zeitig die von ihnen verlangten Kostenvorschüsse von Fr. 25'560.– bzw. Fr. 3'500.– (Urk. 192, Urk. 198).</w:t>
      </w:r>
    </w:p>
    <w:p>
      <w:r>
        <w:rPr>
          <w:b/>
        </w:rPr>
        <w:t>E. 3</w:t>
      </w:r>
    </w:p>
    <w:p>
      <w:r>
        <w:t>Die erst- und zweitinstanzlichen Gerichtskosten inklusive Gutachtenskosten übernimmt der Beklagte.</w:t>
      </w:r>
    </w:p>
    <w:p>
      <w:r>
        <w:rPr>
          <w:b/>
        </w:rPr>
        <w:t>E. 4</w:t>
      </w:r>
    </w:p>
    <w:p>
      <w:r>
        <w:t>Die Parteien verzichten gegenseitig für beide Instanzen auf Prozessent- schädigung.</w:t>
      </w:r>
    </w:p>
    <w:p>
      <w:r>
        <w:rPr>
          <w:b/>
        </w:rPr>
        <w:t>E. 5</w:t>
      </w:r>
    </w:p>
    <w:p>
      <w:r>
        <w:t>Mit Erfüllung dieser Vereinbarung erklären sich die Parteien per Saldo aller gegenseitigen Ansprüche für auseinandergesetzt.</w:t>
      </w:r>
    </w:p>
    <w:p>
      <w:r>
        <w:t>- 4 -</w:t>
      </w:r>
    </w:p>
    <w:p>
      <w:r>
        <w:rPr>
          <w:b/>
        </w:rPr>
        <w:t>E. 6</w:t>
      </w:r>
    </w:p>
    <w:p>
      <w:r>
        <w:t>Die D._____ AG [Versicherung], vertreten durch Frau lic. iur. E._____ mit Vollmacht, erklärt sich mit diesem Vergleich einverstanden und für den Ver- gleichsbetrag und die Gerichtskosten gemäss Ziffer 1 und 3 hiervor solida- risch haftbar." 4. Ein Vergleich hat die Wirkung eines rechtskräftigen Entscheides (Art. 241 Abs. 2 ZPO). Der Prozess ist demzufolge abzuschreiben (Art. 241 Abs. 3 ZPO), unter vereinbarungsgemässer Regelung der Kosten- und Entschädigungsfolgen. 5. a) Der Streitwert von Rechtsbegehren Ziffer 1 und 3 beträgt Fr. 528'800.–. Der Barwert der mit Rechtsbegehren Ziffer 2 geforderten Rente beläuft sich bei einem Kapitalisierungszinsfuss von 3.5% auf Fr. 246'363.– (Art. 92 ZPO), der Ge- samtstreitwert somit auf Fr. 775'163.–. b) Die Gerichtsgebühr für das erstinstanzliche Verfahren (Dispositiv Zif- fer 4) wurde von keiner Seite beanstandet und erscheint trotz leicht divergieren- dem Streitwert (Urk. 190 S. 89) angemessen. Sie ist samt den Auslagen für Gut- achten und Zeugen zu bestätigen (Art. 318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