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LB110025 vom 25. Juli 2011</w:t>
      </w:r>
    </w:p>
    <w:p>
      <w:r>
        <w:t>ZH Obergericht, 2011-07-25, DE</w:t>
      </w:r>
    </w:p>
    <w:p>
      <w:r>
        <w:rPr>
          <w:b/>
        </w:rPr>
        <w:t xml:space="preserve">Quelle: </w:t>
      </w:r>
      <w:r>
        <w:t>https://mcp.opencaselaw.ch/entscheid/zh_obergericht_LB110025</w:t>
      </w:r>
    </w:p>
    <w:p>
      <w:r>
        <w:t>FR: ZH_OBERGERICHT LB110025 du 25 juillet 2011</w:t>
      </w:r>
    </w:p>
    <w:p>
      <w:r>
        <w:t>IT: ZH_OBERGERICHT LB110025 del 25 luglio 2011</w:t>
      </w:r>
    </w:p>
    <w:p>
      <w:pPr>
        <w:pStyle w:val="Heading2"/>
      </w:pPr>
      <w:r>
        <w:t>Erwägungen</w:t>
      </w:r>
    </w:p>
    <w:p>
      <w:r>
        <w:rPr>
          <w:b/>
        </w:rPr>
        <w:t>E. 1</w:t>
      </w:r>
    </w:p>
    <w:p>
      <w:r>
        <w:t>Am 15. April 2006 schlossen die Kläger und Appellanten (nachfolgend: die Kläger) als Eigentümer der Grundparzelle Nr. 1._____ auf dem Gebiet der Gemeinde G._____ mit der Eigentümerschaft der benachbarten Grundparzelle Nr. 2._____, auf der sich das Mehrfamilienhaus H._____ befindet, zwei Verträ- ge. Im ersten, öffentlich beurkundeten Vertrag wurden im Hinblick auf die Überbauung der Grundparzelle Nr. 1._____ zu deren Gunsten Zugangs- und Durchgangsrechte zu Lasten der Grundparzelle Nr. 2._____ geregelt. Im zwei- ten (einfach schriftlichen) Vertrag wurden Hang- und Böschungssicherungs- massnahmen geregelt, welche die Kläger vorzunehmen versprachen, unter Kostenbeteiligung der Gegenpartei im Umfang von Fr. 80'000.-. Die Grundparzelle Nr. 2._____ steht im Stockwerkeigentum diverser Per- sonen, darunter die Beklagten und Appellaten (nachfolgend: die Beklagten).</w:t>
      </w:r>
    </w:p>
    <w:p>
      <w:r>
        <w:rPr>
          <w:b/>
        </w:rPr>
        <w:t>E. 2</w:t>
      </w:r>
    </w:p>
    <w:p>
      <w:r>
        <w:t>Die Kläger machen geltend, am zweiten Vertrag vom 15. April 2011 seien die einzelnen Stockwerkeigentümer als Partei beteiligt gewesen, und zwar als solidarisch haftende Schuldner (vgl. act. 2 S. 4, dort auch Ziff. 5). Mit ihrer Kla-</w:t>
      </w:r>
    </w:p>
    <w:p>
      <w:r>
        <w:t>- 4 - ge verlangen sie von den Beklagten als am zweiten Vertrag beteiligten Stock- werkeigentümern den Betrag von Fr. 80'000.-.</w:t>
      </w:r>
    </w:p>
    <w:p>
      <w:r>
        <w:rPr>
          <w:b/>
        </w:rPr>
        <w:t>E. 2.1</w:t>
      </w:r>
    </w:p>
    <w:p>
      <w:r>
        <w:t>Im Wesentlichen bringen die Kläger zur Begründung weiter vor, die Beklag- ten hätten sich im Vertrag gemäss dessen Art. 5 verpflichtet, an die Kosten der Hang- bzw. Böschungssicherungsmassnahmen nach deren Vollendung und Abnahme den eingeklagten Betrag zu leisten. Die Hang- und Böschungssiche- rungsmassnahmen seien längstens vollendet. Gleichwohl hätten die Beklagten die versprochene Leistung nicht erbracht. Soweit die Abnahme des Werkes Vo- raussetzung für die Fälligkeit der eingeklagten Forderung wäre, was sie – die Kläger – bestritten, sei diese Abnahme von den Beklagten vereitelt worden (vgl. act. 2 S. 6 [Rz. 15]). Die Forderung sei damit fällig geworden und geschul- det.</w:t>
      </w:r>
    </w:p>
    <w:p>
      <w:r>
        <w:rPr>
          <w:b/>
        </w:rPr>
        <w:t>E. 2.2</w:t>
      </w:r>
    </w:p>
    <w:p>
      <w:r>
        <w:t>Die Beklagten bestritten bereits in der Klageantwort nicht, sich durch den Vertrag vom 15. April 2006 persönlich als solidarisch haftende Schuldner ver- pflichtet zu haben (vgl. act. 14 S. 21, dort Ziff. 69 f.). Sie stellen sich jedoch im Wesentlichen auf den Standpunkt, die Hangsicherung sei nicht vollständig und vertragsgemäss erstellt worden (a.a.O., dort Ziff. 71 ff.). Die von den Parteien in Art. 5 des Vertrages vereinbarte Abnahme der Hangsicherung durch die Gemeinde oder durch die die Hangsicherung begleitende I._____ AG hätten sie nicht vereitelt. Es habe eine Beurteilung durch die I._____ AG gegeben, mit dem Ergebnis, dass die Hangsicherung unvollständig, abweichend von den Vertragsplänen und in Verletzung der Regeln der Baukunst vorgenommen worden sei (vgl. a.a.O.). Da die Hangsicherung bis heute nicht vollendet worden und mit Mängeln behaftet sei, schuldeten sie den Klägern nichts (vgl. a.a.O., S. 25, dort Ziff. 94).</w:t>
      </w:r>
    </w:p>
    <w:p>
      <w:r>
        <w:rPr>
          <w:b/>
        </w:rPr>
        <w:t>E. 3</w:t>
      </w:r>
    </w:p>
    <w:p>
      <w:r>
        <w:t>Die Kläger machten die Klage mit Eingabe vom 3. März 2010 beim Bezirks- gericht Uster anhängig. Es wurde die schriftliche Klageantwort eingeholt. Auch Replik und Duplik wurden im schriftlichen Verfahren erstattet. Nach Eingang der Duplikschrift wurde das Hauptverfahren mit Präsidialverfügung vom 4. Feb- ruar 2011 für geschlossen erklärt. Das Bezirksgericht erachtete den Prozess in der Folge als spruchreif und fällte am 28. März 2011 sein Urteil (act. 40 = act.</w:t>
      </w:r>
    </w:p>
    <w:p>
      <w:r>
        <w:t>- 5 - 44), mit dem es die Klage abwies. Für weitere Details zur Geschichte des erst- instanzlichen Prozesses kann auf die Erwägungen auf S. 2 f. des angefochte- nen Urteils (act. 40 = act. 44) verwiesen werden.</w:t>
      </w:r>
    </w:p>
    <w:p>
      <w:r>
        <w:rPr>
          <w:b/>
        </w:rPr>
        <w:t>E. 3.1</w:t>
      </w:r>
    </w:p>
    <w:p>
      <w:r>
        <w:t>Aufgrund der Akten ist ausgewiesen, dass die Beklagten bereits mit der Klageantwort nicht dagegen opponiert haben, aus dem Vertrag vom 15. April 2006 von den Klägern wegen der Entschädigung von Fr. 80'000.- für Hangsi- cherungsmassnahmen als solidarisch haftende Schuldner in Anspruch ge- nommen zu werden (vgl. vorn Ziff. I/2.2 mit Verweisen). Insoweit haben sie den entsprechenden Standpunkt der Kläger bereits damals anerkannt. Der im Beru- fungsverfahren vorgebrachte übereinstimmende Einwand beider Parteien, das Bezirksgericht habe das übersehen, erweist sich folglich als zutreffend. Richtig ist in diesem Zusammenhang ebenso, dass das Gesetz es nicht verbietet, als einzelner Stockwerkeigentümer zusätzlich zur oder anstelle der Gemeinschaft für Verpflichtungen, die in deren Interesse liegen, eine solidarische Haftung für Verbindlichkeiten gemäss Art. 143 Abs. 1 OR zu übernehmen. War es demnach bereits im bezirksgerichtlichen Verfahren die überein- stimmende Auffassung der Parteien, die Beklagten hätten sich im Vertrag vom 15. April 2006 (act. 3/4) als solidarische Schuldner gegenüber den Klägern gemäss Art. 143 Abs. 1 OR verpflichtet, bestand grundsätzlich kein Anlass zur</w:t>
      </w:r>
    </w:p>
    <w:p>
      <w:r>
        <w:t>- 9 - Auslegung des Vertrages vom 15. April 2006 unter dem Aspekt der Passivlegi- timation der Stockwerkeigentümergemeinschaft, und es besteht auch heute keiner. Denn die Anerkennung ihrer Solidarschuldnerschaft aus dem Vertrag vom 15. April 2006 im Prozess gegenüber den Klägern wirkt nur für die Beklag- ten selbst, nicht hingegen für andere, am Prozess nicht beteiligte Personen, al- so auch nicht für die übrigen Stockwerkeigentümer, welche die Kläger mit der hier zu beurteilenden Klage nicht ins Recht gefasst haben.</w:t>
      </w:r>
    </w:p>
    <w:p>
      <w:r>
        <w:rPr>
          <w:b/>
        </w:rPr>
        <w:t>E. 3.2</w:t>
      </w:r>
    </w:p>
    <w:p>
      <w:r>
        <w:t>Das hat zur Folge, dass die Klage nicht wegen fehlender Passivlegitimation der Beklagten abgewiesen werden kann, sondern materiell erst noch zu prüfen sein wird. Nachdem die Kläger den Standpunkt einnehmen, die Beklagten sei- en ihnen aus dem Vertrag vom 15. April 2006 als Schuldner gemäss Art. 143 Abs. 1 OR solidarisch zur Leistung der Entschädigung verpflichtet, ist dabei zu berücksichtigen, dass den Beklagten gemäss Art. 145 OR insbesondere alle Einreden aus dem Vertrag zur Verfügung stehen, welche der Entstehung der Schuld von Fr. 80'000.- entgegenstehen usw. Gelegenheit, solche Einreden zu erheben, hatten die Beklagten bereits hinreichend, und sie haben sie auch ge- nutzt (vgl. vorn Ziff. I/2.2), wie auch die Kläger ausreichend Gelegenheit hatten, sich zu ihrem Klagefundament und den Einwänden der Beklagten zu äussern. Zur weiteren Prüfung der Klage bedarf es insoweit keiner weiteren Parteivor- träge mehr, hingegen der Abklärung der strittigen Sachverhalte. Namentlich wird in ersten Schritten zu prüfen sein, was die Vertragsparteien unter der "Ab- nahme" der Hang- und Böschungssicherung gemäss Art. 5 des Vertrages ver- standen haben – ihre Auffassungen dazu divergieren, wobei Wortlaut und Bin- dungswillen der Parteien an den Vertrag unbestritten sind, demnach ein Ausle- gungsstreit vorzuliegen scheint. Ferner wird zu prüfen sein, ob etwa diese Ab- nahme von den Klägern gemäss Art. 5 des Vertrages verlangt wurde und – so das zu bejahen ist – wegen der tatsächlichen Vollendung der Arbeiten (welche bestritten ist) auch verlangt werden konnte bzw. durfte usw., oder endlich, ob es wegen "Vereitelungen" (soweit die Kläger ggf. entsprechende Sachverhalte behauptet haben) eines Verlangens nach Abnahme (etwa in Analogie zu Art. 91 OR) nicht bedurfte. Je nach dem Ergebnis dieser vertiefteren Prüfung, welche auch den versprochenen Umfang der Hangsicherungsmassnahmen</w:t>
      </w:r>
    </w:p>
    <w:p>
      <w:r>
        <w:t>- 10 - abzuklären hat, wird allenfalls auch die Mangelhaftigkeit der Massnahme zu prüfen sein sowie wann entsprechende Rügen erhoben worden waren. 4. Die Klage ist demnach in wesentlichen Teilen ungeprüft geblieben, weshalb das angefochtene Urteil aufzuheben und die Sache gemäss Art. 318 Abs. 1 ZPO an die erste Instanz zurückzuweisen ist, zur weiteren Beurteilung und all- fälligen Durchführung eines Beweisverfahrens. Das Bezirksgericht wird die wei- tere Prüfung der Klage sowie das Beweisverfahren nach dem neuen Recht durchzuführen haben (vgl. ZR 110 [2011] Nr. 6). Vor den Beweiserhebungen wird es den Parteien Gelegenheit einräumen müssen, ihre Beweismittel zu be- zeichnen, und zwar im Einklang mit Art. 154 ZPO unter gerichtlichem Hinweis zu welchen Tatsachenbehauptungen genau. Das bedingt unter dem Titel der "Beweisverfügungen" (entgegen ZR 110 [2011] Nr. 6 E. 7.2) wenigstens den Erlass einer Verfügung analog der Beweisauflage bisherigen kantonalen Rechts (vgl. § 136 ZPO/ZH). III. (Kosten- und Entschädigungsfolgen) Bei diesem Ausgang des Berufungsverfahrens wird das Bezirksgericht einen gesamthaften Entscheid über die Kosten- und Entschädigungsfolgen (gemäss GebV OG und AnwGebV vom 8. September 2010) zu treffen haben. Die Rege- lung der Kosten- und Entschädigungsfolgen des Berufungsverfahrens sind da- her seinem Entscheid vorzubehalten. In Anwendung des § 12 GebV OG ist le- diglich die Gerichtsgebühr für das Berufungsverfahren festzulegen, ausgehend von einem Streitwert von Fr. 80'000.-. Ferner ist vorzumerken, dass die Kläger bereits einen Kostenvorschuss geleistet haben, der bei der Liquidation der Pro- zesskosten durch das Bezirksgericht (vgl. Art. 111 ZPO) zu berücksichtigen sein wird.</w:t>
      </w:r>
    </w:p>
    <w:p>
      <w:r>
        <w:t>- 11 - Es wird beschlossen: 1. Das Urteil des Bezirksgerichtes Uster vom 28. März 2011 wird aufgeho- ben und die Sache zur Ergänzung des Verfahrens und zu neuer Ent- scheidung im Sinne der Erwägungen an die Vorinstanz zurückgewiesen. 2. Die zweitinstanzliche Entscheidgebühr wird auf Fr. 7'950.- festgesetzt. 3. Die Regelung der Prozesskosten des vorliegenden Berufungsverfahrens wird dem neuen Entscheid des Bezirksgerichtes vorbehalten. 4. Es wird vorgemerkt, dass die Kläger einen Kostenvorschuss von Fr. 9'750.- geleistet haben.</w:t>
      </w:r>
    </w:p>
    <w:p>
      <w:r>
        <w:rPr>
          <w:b/>
        </w:rPr>
        <w:t>E. 4</w:t>
      </w:r>
    </w:p>
    <w:p>
      <w:r>
        <w:t>Die Kläger erhoben mit Schriftsatz vom 28. April 2011 rechtzeitig Berufung (act. 43) und leisteten den Kostenvorschuss, der mit Verfügung vom 10. Mai 2011 von ihnen einverlangt worden war. Die Berufungsantwort (act. 55) erfolgte innert Frist. Das Berufungsverfahren erweist sich als spruchreif.</w:t>
      </w:r>
    </w:p>
    <w:p>
      <w:r>
        <w:rPr>
          <w:b/>
        </w:rPr>
        <w:t>E. 5</w:t>
      </w:r>
    </w:p>
    <w:p>
      <w:r>
        <w:t>Schriftliche Mitteilung an die Parteien, an die Kläger unter Beilage eines Doppels von act. 55, an die Obergerichtskasse sowie – unter Beilage der Akten – an das Bezirksgericht Uster je gegen Empfangsschein.</w:t>
      </w:r>
    </w:p>
    <w:p>
      <w:r>
        <w:rPr>
          <w:b/>
        </w:rPr>
        <w:t>E. 6</w:t>
      </w:r>
    </w:p>
    <w:p>
      <w:r>
        <w:t>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80'000.-. Die Beschwerde an das Bundesgericht hat keine aufschiebende Wirkung.</w:t>
      </w:r>
    </w:p>
    <w:p>
      <w:r>
        <w:t>- 12 - Obergericht des Kantons Zürich II. Zivilkammer Die Gerichtsschreiberin: lic. iur. K. Findeisen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