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LB110004 vom 5. Dezember 2011</w:t>
      </w:r>
    </w:p>
    <w:p>
      <w:r>
        <w:t>ZH Obergericht, 2011-12-05, DE</w:t>
      </w:r>
    </w:p>
    <w:p>
      <w:r>
        <w:rPr>
          <w:b/>
        </w:rPr>
        <w:t xml:space="preserve">Quelle: </w:t>
      </w:r>
      <w:r>
        <w:t>https://mcp.opencaselaw.ch/entscheid/zh_obergericht_LB110004</w:t>
      </w:r>
    </w:p>
    <w:p>
      <w:r>
        <w:t>FR: ZH_OBERGERICHT LB110004 du 5 décembre 2011</w:t>
      </w:r>
    </w:p>
    <w:p>
      <w:r>
        <w:t>IT: ZH_OBERGERICHT LB110004 del 5 dicembre 2011</w:t>
      </w:r>
    </w:p>
    <w:p>
      <w:pPr>
        <w:pStyle w:val="Heading2"/>
      </w:pPr>
      <w:r>
        <w:t>Volltext</w:t>
      </w:r>
    </w:p>
    <w:p>
      <w:r>
        <w:t>§ 12 GerGebV, Gebühr bei Rückweisung Die Gebühr ist zu reduzieren. 4. Der Festsetzung der Kosten ist der Streitwert von Fr. 368'860.-- gemäss Berufungsantrag zugrunde zu legen. Den Reduktionsgrund der Rückweisung kennt die Gebührenverordnung nicht mehr. In Analogie zum Fall des prozessleitenden Entscheides (§ 7 aGebV OG) ist die Gebühr zu ermässigen. Im vorliegenden Fall ist eine Reduktion auf rund zwei Drittel des ordentlichen Ansatzes angezeigt. Obergericht, II. Zivilkammer Beschluss vom 5. Dezember 2011 Geschäfts-Nr. LB110004-O/U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