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LB100079 vom 29. März 2012</w:t>
      </w:r>
    </w:p>
    <w:p>
      <w:r>
        <w:t>ZH Obergericht, 2012-03-29, DE</w:t>
      </w:r>
    </w:p>
    <w:p>
      <w:r>
        <w:rPr>
          <w:b/>
        </w:rPr>
        <w:t xml:space="preserve">Quelle: </w:t>
      </w:r>
      <w:r>
        <w:t>https://mcp.opencaselaw.ch/entscheid/zh_obergericht_LB100079</w:t>
      </w:r>
    </w:p>
    <w:p>
      <w:r>
        <w:t>FR: ZH_OBERGERICHT LB100079 du 29 mars 2012</w:t>
      </w:r>
    </w:p>
    <w:p>
      <w:r>
        <w:t>IT: ZH_OBERGERICHT LB100079 del 29 marzo 2012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September 2010 (CG080197)</w:t>
      </w:r>
    </w:p>
    <w:p>
      <w:r>
        <w:t>- 2 - Rechtsbegehren: (Urk. 2) "Es sei die Beklagte unter Kosten- und Entschädigungspflicht zu ihren Lasten zu verpflichten, dem Kläger Fr. 37'000.-- zuzüglich 5 % Zins auf Fr. 62'000.-- vom 16. September 2005 bis 24. November 2006 und auf Fr. 37'000.-- ab 25. November 2006 zu zahlen." Urteil des Bezirksgerichts Zürich: (Urk. 55 S. 11 f.) "Das 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