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LB100048 vom 11. Mai 2011</w:t>
      </w:r>
    </w:p>
    <w:p>
      <w:r>
        <w:t>ZH Obergericht, 2011-05-11, DE</w:t>
      </w:r>
    </w:p>
    <w:p>
      <w:r>
        <w:rPr>
          <w:b/>
        </w:rPr>
        <w:t xml:space="preserve">Quelle: </w:t>
      </w:r>
      <w:r>
        <w:t>https://mcp.opencaselaw.ch/entscheid/zh_obergericht_LB100048</w:t>
      </w:r>
    </w:p>
    <w:p>
      <w:r>
        <w:t>FR: ZH_OBERGERICHT LB100048 du 11 mai 2011</w:t>
      </w:r>
    </w:p>
    <w:p>
      <w:r>
        <w:t>IT: ZH_OBERGERICHT LB100048 del 11 maggio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Kosten- und Entschädigungsfolgen für das Berufungsverfahren können noch nicht definitiv geregelt werden. Heute sind lediglich die Gerichtskos- ten festzusetzen; die Gerichtsgebühr ist unter dem Titel "Zwischenentscheid" (§ 9 Abs. 2 GebV OG) zu ermässigen. Die Kosten werden im Endentscheid zu verlegen sein, und dannzumal ist auch eine allfällige Prozessentschädigung zu- zusprechen.</w:t>
      </w:r>
    </w:p>
    <w:p>
      <w:r>
        <w:t>- 11 -</w:t>
      </w:r>
    </w:p>
    <w:p>
      <w:r>
        <w:rPr>
          <w:b/>
        </w:rPr>
        <w:t>E. 6</w:t>
      </w:r>
    </w:p>
    <w:p>
      <w:r>
        <w:t>Ob das Bundesgericht auf eine Beschwerde gegen den heutigen Ent- scheid eintreten würde, erscheint unsicher (Art. 93 Abs. 1 lit. b BGG). Das Ober- gericht kann das aber nicht verbindlich antizipieren, und es ist den Parteien daher die übliche Rechtsmittelbelehrung zu erteilen (Art. 112 Abs. 1 lit. d BGG).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