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LB100035 vom 1. November 2011</w:t>
      </w:r>
    </w:p>
    <w:p>
      <w:r>
        <w:t>ZH Obergericht, 2011-11-01, DE</w:t>
      </w:r>
    </w:p>
    <w:p>
      <w:r>
        <w:rPr>
          <w:b/>
        </w:rPr>
        <w:t xml:space="preserve">Quelle: </w:t>
      </w:r>
      <w:r>
        <w:t>https://mcp.opencaselaw.ch/entscheid/zh_obergericht_LB100035</w:t>
      </w:r>
    </w:p>
    <w:p>
      <w:r>
        <w:t>FR: ZH_OBERGERICHT LB100035 du 1 novembre 2011</w:t>
      </w:r>
    </w:p>
    <w:p>
      <w:r>
        <w:t>IT: ZH_OBERGERICHT LB100035 del 1 novembre 2011</w:t>
      </w:r>
    </w:p>
    <w:p>
      <w:pPr>
        <w:pStyle w:val="Heading2"/>
      </w:pPr>
      <w:r>
        <w:t>Erwägungen</w:t>
      </w:r>
    </w:p>
    <w:p>
      <w:r>
        <w:rPr>
          <w:b/>
        </w:rPr>
        <w:t>E. 30</w:t>
      </w:r>
    </w:p>
    <w:p>
      <w:r>
        <w:t>Tagen von der Zustellung an beim Bundesgericht, 1000 Lausanne 14, einzureichen. Zulässigkeit und Form einer solchen Beschwerde richten sich nach Art. 72 ff. (Beschwerde in Zivilsachen) oder Art. 113 ff. (subsidiäre Ver- fassungsbeschwerde) in Verbindung mit Art. 42 des Bundesgesetzes über das Bundesgericht (BGG).</w:t>
      </w:r>
    </w:p>
    <w:p>
      <w:r>
        <w:t>- 66 - Dies ist ein Endentscheid im Sinne von Art. 90 BGG. Es handelt sich um eine vermögensrechtliche und nicht vermögensrechtliche arbeitsrechtliche Angelegenheit. Der Streitwert beträgt Fr. 15'000.--. Die Beschwerde an das Bundesgericht hat keine aufschiebende Wirkung. Obergericht des Kantons Zürich II. Zivilkammer Der Vorsitzende: Die Gerichtsschreiberin: lic. iur. P. Diggelmann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