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LB090115 vom 24. August 2011</w:t>
      </w:r>
    </w:p>
    <w:p>
      <w:r>
        <w:t>ZH Obergericht, 2011-08-24, DE</w:t>
      </w:r>
    </w:p>
    <w:p>
      <w:r>
        <w:rPr>
          <w:b/>
        </w:rPr>
        <w:t xml:space="preserve">Quelle: </w:t>
      </w:r>
      <w:r>
        <w:t>https://mcp.opencaselaw.ch/entscheid/zh_obergericht_LB090115</w:t>
      </w:r>
    </w:p>
    <w:p>
      <w:r>
        <w:t>FR: ZH_OBERGERICHT LB090115 du 24 août 2011</w:t>
      </w:r>
    </w:p>
    <w:p>
      <w:r>
        <w:t>IT: ZH_OBERGERICHT LB090115 del 24 agosto 2011</w:t>
      </w:r>
    </w:p>
    <w:p>
      <w:pPr>
        <w:pStyle w:val="Heading2"/>
      </w:pPr>
      <w:r>
        <w:t>Erwägungen</w:t>
      </w:r>
    </w:p>
    <w:p>
      <w:r>
        <w:rPr>
          <w:b/>
        </w:rPr>
        <w:t>E. 1</w:t>
      </w:r>
    </w:p>
    <w:p>
      <w:r>
        <w:t>Dem vorinstanzlichen Urteil liegt folgender Sachverhalt zugrunde (Urk. 60 S. 2 ff., S. 9 f.): Bei der Klägerin und Appellatin (fortan Klägerin) handelt es sich um eine "Investment Holding Company" (Urk. 3/7) in Form einer Aktiengesell- schaft nach englischem Recht mit Sitz in W._____, die von C._____ als Direktor geleitet wird (Urk. 3/3). Die Beklagten und Appellanten (fortan Beklagte) sind ein Ärzteehepaar und Eigentümer verschiedener in Deutschland und in der Schweiz domizilierter Gesellschaften im Medizinalbereich (A._____-Gruppe [Urk. 3/7]), namentlich der D._____ AG (heute E._____ AG), einer Schweizer Aktiengesell- schaft, die als Holdinggesellschaft zahlreiche weitere Gesellschaften, u.a. die F._____ Aktiengesellschaft (F._____ AG) mit Sitz in G._____, beherrscht (Urk. 3/4). Zwecks Restrukturierung der A._____-Gruppe und Finanzierung eines welt- weiten Produkte-Marketings schlossen die Beklagten und H._____ auf der einen Seite und die Klägerin auf der andern Seite am 5. April 2005 ein Memorandum of Understanding (MoU) ab, in welchem sie bis zum 30. April 2005 (Closing Date) den Abschluss eines (definitiven) Vertrags ins Auge fassten. In Section 4 MoU verpflichtete sich die Klägerin, innert 14 Tagen nach Unterzeichnung des MoU ei- ne Vorauszahlung ("Upfront Payment bzw. "upfront cash deposit") von € 500'000.– auf ein Treuhandkonto zu tätigen, um die Bonität der aus der D._____ AG zu bildenden "Operating Group" zu verbessern. Im Falle eines (gemäss MoU bis 30. April 2005 befristeten) Rückzugs hätte die Vorauszahlung innert 30 Tagen zurückbezahlt werden sollen (Urk. 3/7). Ebenfalls am 5. April 2005 schloss die Klägerin mit der I._____ GmbH (I._____), vertreten durch H._____, eine Verein- barung ab, worin sich die Klägerin verpflichtete, ein Cash-Deposit in Höhe von € 500'000.– "zwecks Garantieleistung zur Abwicklung einer Transaktion" auf das</w:t>
      </w:r>
    </w:p>
    <w:p>
      <w:r>
        <w:t>- 4 - Treuhandkonto der I._____ zu bezahlen. Im Falle des Nichtzustandekommens des Vertrags mit den Beklagten hätte dieser Betrag der Klägerin zurückerstattet werden sollen (Urk. 3/8).</w:t>
      </w:r>
    </w:p>
    <w:p>
      <w:r>
        <w:rPr>
          <w:b/>
        </w:rPr>
        <w:t>E. 2</w:t>
      </w:r>
    </w:p>
    <w:p>
      <w:r>
        <w:t>Am 28. Juli 2005 schloss die Klägerin mit der F._____ AG einen Darle- hensvertrag ab, worin sich die Klägerin verpflichtete, der F._____ ab 28. Juli 2005 ein Darlehen in Höhe von max. € 500'000.– zur Verfügung zu stellen. Die Auszah- lung des Darlehens setzte unter anderem voraus, dass sämtliche Sicherheiten gemäss Art. 4.1 des Vertrags – eine persönliche, solidarische Garantieerklärung der Beklagten – bestellt wurden (Urk. 3/10). Die von den Beklagten am 28. Juli 2005 unterzeichnete Garantieerklärung lautet wie folgt (Urk. 3/2): GARANTIE Im Sinne von Art. 111 OR Die Unterzeichnenden, Prof. Dr. med. A1._____, … …, ….. G._____, und Dr. med. A2._____, … …, …. J._____, (nachfolgend die „Garantiegeber“) garantieren hiermit, um die Gewährung des nachfolgend genannten Darlehens zu ermöglichen so- lidarisch und unwiderruflich und bedingungslos gemäss Art. 111 OR des Schweizerischen Obliga- tionenrechts (und nicht etwa als Bürgen) gegenüber B._____ Ltd., … …, W._____ (nachfolgend "B._____") die zeitgerechte und vollumfängliche Erfüllung durch F._____ AG (nachfolgend „Darlehensnehme- rin“) von sämtlichen Pflichten der Darlehensnehmerin, insbesondere der Pflicht zur Rückzahlung jedwelcher ausstehender Darlehensbeträge gemäss dem Darlehensvertrag vom 28.07.2005 zwi- schen B._____ und der Darlehensnehmerin. Dementsprechend verpflichten sich die Garantiegeber, der B._____ auf erste Aufforderung hin und unter Verzicht auf jedwelche Einreden und Einwendungen ungeachtet der Gültigkeit des Dar- lehensvertrages zwischen B._____ und der Darlehensnehmerin jeden Betrag bis zu einem Maxi- mum von EUR 550'000.– zu zahlen, und zwar innerhalb von fünf Werktagen nach Erhalt einer schriftlichen Zahlungsaufforderung durch B._____, aus welcher hervorgeht, dass die Darlehens-</w:t>
      </w:r>
    </w:p>
    <w:p>
      <w:r>
        <w:t>- 5 - nehmerin trotz Fälligkeit des entsprechenden Betrags unter dem Darlehensvertrag den entspre- chenden Betrag nicht bezahlt hat. Eine Verrechnung von gemäss dieser Garantie geschuldeten Garantieleistungen mit allfälligen Gegenansprüchen der Garantiegeber gegenüber B._____ ist ausgeschlossen. Die vorliegende Garantie bleibt bis zur vollständigen Erfüllung sämtlicher Ansprüche von B._____ unter dem Darlehensvertrag in Kraft. Sie fällt indessen ohne weiteres dahin, soweit und sobald B._____ gültig sämtliche Aktien an der Darlehensnehmerin erworben hat. Diese Garantie untersteht schweizerischem Recht. Ausschliesslicher Gerichtsstand für allfällige Streitigkeiten aus oder im Zusammenhang mit dieser Vereinbarung ist Zürich 1. B._____ ist indes- sen berechtigt, eine Klage im Zusammenhang mit dieser Garantie gegen die Garantiegeber auch an jedem anderen zuständigen Gericht zu erheben. Mit E-Mail vom 28. Juli 2005 ersuchte C._____ H._____ das Depositum von € 500'000.– im Sinne des Darlehensvertrags zu überweisen, sobald Darlehens- vertrag und Garantieerklärung seitens der Beklagten unterzeichnet seien (Urk. 3/11, Urk. 40/9). Mit Telefax vom 29. Juli 2005 teilten die Beklagten H._____ die Kontonummer der D._____ AG bei der K._____ [Bank] mit und fügten hinzu: "Sie hatten uns zugesagt, hier eine telegraphische Anweisung zu tätigen, abzüglich der angemahnten Gebühren I._____" (Urk. 40/10).</w:t>
      </w:r>
    </w:p>
    <w:p>
      <w:r>
        <w:rPr>
          <w:b/>
        </w:rPr>
        <w:t>E. 3</w:t>
      </w:r>
    </w:p>
    <w:p>
      <w:r>
        <w:t>Mit Schreiben vom 26. Dezember 2005 teilte die Klägerin den Beklagten und H._____ u.a. mit, dass eine Zusammenarbeit nach Vorlage des Due Dilli- gence-Berichts nicht mehr in Frage komme. Ein Rückzug von der geplanten Zu- sammenarbeit gemäss Ziffer 3 MoU sei deshalb für die Klägerin unumgänglich (Urk. 22/9). Mit Schreiben vom 6. Februar 2006 machte die Klägerin die F._____ AG darauf aufmerksam, dass bis anhin keine Darlehenszinsen bezahlt worden seien, und ersuchte um Überweisung der ausstehenden Zinsen (Urk. 3/13). Mit Schreiben an die F._____ AG vom 28. Februar 2006 kündigte die Klägerin das Darlehen, stellte die Darlehenssumme samt Zinsen per 31. März 2006 fällig und verlangte die Zahlung sämtlicher gemäss Darlehensvertrag geschuldeten Beträge bis zum 10. April 2006 (Urk. 3/14). Da die F._____ AG keine Zahlung leistete, nahm die Klägerin die Garantie mit Schreiben vom 12. Mai 2006 in Anspruch und verlangte von den Beklagten die Zahlung von € 535'000.– bis spätestens 22. Mai 2006 (Urk. 3/17). Mit Schreiben vom 11. April 2007 wurden die Beklagten zur</w:t>
      </w:r>
    </w:p>
    <w:p>
      <w:r>
        <w:t>- 6 - Zahlung von € 550'000.– aufgefordert mit der Begründung, die Zinsen würden den Höchstbetrag der Garantie übersteigen (Urk. 3/19).</w:t>
      </w:r>
    </w:p>
    <w:p>
      <w:r>
        <w:rPr>
          <w:b/>
        </w:rPr>
        <w:t>E. 4</w:t>
      </w:r>
    </w:p>
    <w:p>
      <w:r>
        <w:t>Mit Eingabe vom 1. April 2008 machte die Klägerin die Klage mit obge- nanntem Rechtsbegehren bei der Vorinstanz anhängig (Urk. 1). Mit Beschluss vom 10. September 2008 wies die Vorinstanz eine in der Klageantwort vom 8. Juli 2008 (Urk. 21) erhobene Unzuständigkeitseinrede der Beklagten ab (Urk. 28). Die Replik datiert vom 10. Dezember 2008, die Duplik vom 30. März 2009 (Urk. 39, Urk. 48). Ein Sistierungsbegehren der Beklagten wurde mit Beschluss vom 16. Juni 2009 abgewiesen (Urk. 52). Am 9. November 2009 fällte die Vorinstanz das eingangs aufgeführte Urteil (Urk. 52 = Urk. 60).</w:t>
      </w:r>
    </w:p>
    <w:p>
      <w:r>
        <w:rPr>
          <w:b/>
        </w:rPr>
        <w:t>E. 5</w:t>
      </w:r>
    </w:p>
    <w:p>
      <w:r>
        <w:t>a) Im Berufungsverfahren erheben die Beklagten neu den Einwand des Rechtsmissbrauchs. Sie sehen diesen darin begründet, dass die Klägerin Zahlung verlangte, obwohl die Darlehenssumme nie ausbezahlt worden sei (Urk. 74 S. 10) und die Klägerin die Sicherheit für ein von ihr geleistetes, bereits verfallenes "Up- front Payment" in Anspruch nehme (Urk. 74 S. 12). Dieser Einwand ist rechtlicher Natur und damit auch im Berufungsverfahren zulässig. Es ist von Amtes wegen zu prüfen, ob die Inanspruchnahme der Garantie durch die Klägerin einem offen- baren Rechtsmissbrauch im Sinne von Art. 2 ZGB gleichkommt (BGE 122 III 321; BK-Merz, N 99 zu Art. 2 ZGB). b) Im Zusammenhang mit einer Bankgarantie hat das Bundesgericht unter Hinweis auf die Werke von Lombardini und Zobl erwogen, die Verweigerung der Auszahlung einer Bankgarantie sei aussergewöhnlich; es genüge nicht, dass die Berufung auf die selbständige Garantie nicht mit dem Hinweis auf die Beziehun- gen zwischen Auftraggeber und Begünstigten gerechtfertigt werden könne oder dass zwischen ihnen in Bezug auf die Erfüllung des Vertrages ein Streit bestehe (BGE 131 III 527 = Pra 95 [2006] Nr. 66 S. 481). Da die Beklagten versprochen haben, "auf erste Aufforderung hin" zu bezahlen, könnte von einer "offenbar" missbräuchlichen Rechtsposition der Klägerin nur dann gesprochen werden, wenn keine vernünftigen Zweifel bestünden, dass der Klägerin trotz Vorliegen der Voraussetzungen des formellen Garantiefalles nach Massgabe des Darlehensver- trags kein Recht zusteht, die Garantie abzurufen (vgl. etwa Graf von Westpha- len/Jud [Hrsg.] Die Bankgarantie im internationalen Handelsverkehr, 3. Aufl., Frankfurt a.M. 2005, S. 194 f.; Kleiner, Bankgarantie, Zürich 1990, S. 210). An- sonsten könnte trotz Einrede- und Einwendungsverzicht im Prozess zwischen</w:t>
      </w:r>
    </w:p>
    <w:p>
      <w:r>
        <w:t>- 16 - Promittent und Promissar das Grundverhältnis in jedem Fall wieder zum Thema gemacht werden. c) Der (dem schweizerischen Recht unterstehende) Darlehensvertrag mit der F._____ AG wurde am 28. Juli 2005 abgeschlossen. Die Garantieerklärung der Beklagten datiert ebenfalls vom 28. Juli 2005. Der Darlehensbetrag war ge- mäss Artikel 5.1 und 5.2 des Darlehensvertrags noch gleichentags verfügbar. Die Klägerin wies H._____ noch am 28. Juli 2005 an, den auf dem Konto der I._____ liegenden Betrag von € 500'000.– "im Sinne des Darlehensvertrags" zu überwei- sen, sobald Darlehensvertrag und Garantieerklärung unterzeichnet seien (Urk. 3/11, Urk. 40/9). Gemäss Schreiben vom 10. Februar 2006 hat H._____ die Auszahlung am 29. Juli 2005 unter folgender Referenz vorgenommen: "Deposit gemäss Darlehensvertrag EURO 500.000 abzüglich Trustee Expenses 79.651,20" (Urk. 3/12). Die Klägerin hat sich demnach gegenüber H._____ klar darüber geäussert, welcher Anspruch mit den auf dem Konto der I._____ liegen- den € 500'000.– befriedigt werden soll. Zwar geht eine Kenntnisnahme dieser ausdrücklichen Anrechnungserklärung durch die Beklagten aus dem Telefax vom 29. Juli 2005, worin sie H._____ die Kontonummer der D._____ AG bekanntga- ben (Urk. 40/10), und aus den übrigen Akten nicht hervor. Aus der im Telefax ge- machten Erklärung, H._____ habe ihnen zugesagt, "hier eine telegraphische An- weisung zu tätigen", kann aber umgekehrt auch nicht geschlossen werden, die Beklagten hätten die Überweisung vom 29. Juli 2005 als "endgültige Ausrichtung des Upfront Payments an die D._____ AG" (Urk. 74 S. 9) betrachtet. Bis dahin war die Ausrichtung der Vorauszahlung an die Beklagten bzw. die Beanspru- chung des Depositums durch die "operating group" unter den Parteien offenbar kein Thema. Die angeblich "wiederholten Nachfragen" (Urk. 21 S. 12 Ziff. 34) um Freigabe blieben völlig unsubstanziiert. Aufgrund der konkreten Umstände, insbe- sondere aus dem zeitlichen Zusammenhang und der Übereinstimmung von Dar- lehenssumme und angewiesenem Betrag ("abzüglich der angemahnten Gebüh- ren I._____") war für die Beklagten zumindest erkennbar, dass die Klägerin mit der Überweisung des Depositums (Urk. 40/10) die Auszahlung der Darlehensva- luta beabsichtigte. Insofern erfolgte eine sich aus den Umständen ergebende An- rechnungserklärung im Sinne von Art. 86 OR (BK-Weber, N 27 ff. zu Art. 86 OR).</w:t>
      </w:r>
    </w:p>
    <w:p>
      <w:r>
        <w:t>- 17 - Soweit ersichtlich hat sich der Beklagte 1 erstmals am 18. Mai 2006 darauf beru- fen, die Zahlung sei per Memorandum of Understanding weitergeleitet worden und betreffe daher die D._____ AG (Urk. 22/10; Urk. 21 S. 16 N 49, Urk. 39 S. 16 N 50 ff., Urk. 48 S. 13 f.). Jedenfalls erscheint der Tatbestand nicht dermassen klar und der Standpunkt der Klägerin nicht dermassen unvertretbar, dass die In- anspruchnahme der Garantie aufgrund der geschilderten Umstände als offen- sichtlich rechtsmissbräuchlich erscheint, zumal auch die Auffassung der Beklag- ten, das "Upfront Payment" sei ihnen bzw. der D._____ AG unwiderruflich verfal- len, alles andere als gesichert erscheint. d) Die Klägerin ist der Auffassung, das gemäss MoU geleistete Depositum sei den Beklagten nicht zur Verfügung gestanden und auch nicht verfallen, wes- halb es von den Beklagten auch nicht habe abgerufen werden können (Urk. 77 S. 14, S. 16). Wie aus der Einleitung ("Recitals" [Section 1]) zum MoU erhellt, war geplant, die D._____ AG in zwei Einheiten aufzuspalten, nämlich in eine For- schungs- und Entwicklungs-Gruppe einerseits und in eine Betriebsgruppe ("ope- rating group") andererseits (Urk. 3/7 S. 1). Als CEO der "operating group" war H._____ vorgesehen. Die Parteien bestätigten schliesslich ihre Bereitschaft, den definitiven Vertrag "regulating the successful completion of the restructuring of the A._____ Group" "[a]fter successful Due Diligence by B._____" bis zum 30. April 2005 abzuschliessen (Urk. 3/7 S. 2 f.). Gemäss Section 4 MoU wurde die von der Klägerin zu leistende Vorauszahlung auf einem Treuhandkonto platziert, um dafür zu sorgen, dass die "operating group" sofort starten konnte, ohne Nachteilen aus- gesetzt zu sein, die sich aus der Verzögerung bei der Gewährung von Bankkredi- ten hätten ergeben können. Im Falle eines Rückzuges hätte das "upfront pay- ment" innert 30 Tagen der Klägerin zurückerstattet werden sollen, im Falle eines Vertragsabschlusses wäre das "upfront payment" an die zu leistende Kapitalein- lage angerechnet worden (Section 5 Ziff. 1 MoU). In der Folge kam es nicht zur Unterzeichnung des in Aussicht genommenen Vertrags und damit auch nicht zur geplanten Restrukturierung der A._____Gruppe. H._____ wurde nie als CEO der D._____ AG bzw. der E._____ SA eingesetzt (vgl. auch Urk. 4/11 und Urk. 22/2). Die Parteien sind sich uneins, ob das Closing Date gemäss Section 3 MoU ein- vernehmlich über den 30. April 2005 hinausgeschoben wurde und sich die Kläge-</w:t>
      </w:r>
    </w:p>
    <w:p>
      <w:r>
        <w:t>- 18 - rin rechtzeitig von ihren Verpflichtungen gemäss MoU zurückzog. Die Beklagten äussern sich widersprüchlich, wenn sie einerseits behaupten, das Closing Date gemäss MoU (30. April 2005) sei nicht verschoben worden (Urk. 21 S. 15, S. 18, Urk. 48 S. 9, Urk. 74 S. 9), und andererseits geltend machen, die Rechnung der I._____ an die D._____ AG vom 31. Mai 2005 (Urk. 22/3) mit verrechneten 13.25 Mann-Stunden im Mai 2005 belege, dass ihnen aufgrund der Verzögerungstaktik der Klägerin ein grosser Schaden entstanden sei, weil viele Geschäfte wegen feh- lender Finanzierung und/oder wegen der Exklusivitätsverpflichtung im MoU nicht hätten abgeschlossen werden können (Urk. 48 S. 12), galt die Exklusivitätsver- pflichtung gemäss Section 9 MoU doch nur bis zum Closing Date (Urk. 3/7 S. 6). Offensichtlich wurde der definitive Vertrag bis Ende April 2005 nicht unter Dach und Fach gebracht; trotzdem steckten die Parteien noch anfangs Juli 2005 in Verhandlungen (Urk. 21 S. 15 Ziff. 42 f., Urk. 48 S. 10 Ziff. 17.2; Urk. 22/7+8). Über eine "kleine Lösung" wurde noch im September/Oktober 2005 diskutiert (Urk. 22/6, Urk. 40/4-6). Ob die "operating group" ihre Tätigkeit im Sinne von Sec- tion 4 MoU aufnahm, ist damit nicht dargetan. Bei dieser Sachlage kann nicht ge- sagt werden, die hinterlegten € 500'000.– seien – entsprechend einem Haft- oder Reugeld (Urk. 21 S. 29, Urk. 48 S. 30) – ab dem 1. Mai 2005 verfallen, hätten den Beklagten bzw. der D._____ AG zugestanden und von der Klägerin nicht mehr zurückgefordert werden können. Im Berufungsverfahren waren sich die Beklagten auch nicht mehr sicher, wer Anspruch auf das Depositum erheben konnte, sie selbst oder die D._____ AG (vgl. beispielhaft: Urk. 74 S. 9 Ziff. 26: "dass das Up- front Payment bereits am 30. April 2005 verfallen war und es der D._____ AG zu- stand und dies unwiderruflich"; Urk. 80 S. 5 N 10: "stand damit endgültig den Be- klagten zu"; Urk. 80 S. 6: "war eine solche Umwidmung des der D._____ AG zu- stehenden und bereits verfallenen Deposits"; Urk. 80 S. 7: "des bereits ihnen [den Beklagten] gehörenden Upfront Payments"). Als Haft- oder Reugeld, als Vertrags- strafe im Falle einer Verletzung von Section 3 MoU (Urk. 21 S. 29, Urk. 48 S. 30) oder als Entschädigung für die Exklusivitätsverpflichtung (Urk. 48 S. 14) haben die Parteien das "upfront cash deposit" auch nicht explizit definiert. Auch diesbe- züglich gelingt es den Beklagten nicht, im Verhalten der Klägerin einen offenbaren Rechtsmissbrauch aufzuzeigen.</w:t>
      </w:r>
    </w:p>
    <w:p>
      <w:r>
        <w:t>- 19 - e) Zusammenfassend ergibt sich, dass die Klägerin die Garantie nicht rechtsmissbräuchlich in Anspruch nimmt. Die Vorinstanz hat die zur Verrechnung gestellten Forderungen der Beklagten zu Recht nicht zugelassen (Urk. 60 S. 16 f.), was von den Beklagten auch nicht gerügt wurde. Damit sind in Bestätigung des vorinstanzlichen Urteils die Beklagten solidarisch zu verpflichten, der Klägerin € 550'000.– zu bezahlen. Es kann offen gelassen werden, ob die Beklagten aus- drücklich damit einverstanden waren, das unter dem MoU geleistete Depositum als Darlehen an die F._____ AG auszuzahlen, wie die Klägerin geltend macht (Urk. 39 S. 29).</w:t>
      </w:r>
    </w:p>
    <w:p>
      <w:r>
        <w:rPr>
          <w:b/>
        </w:rPr>
        <w:t>E. 6</w:t>
      </w:r>
    </w:p>
    <w:p>
      <w:r>
        <w:t>Schriftliche Mitteilung an die Parteien und an das Bezirksgericht Zürich, 2. Abteilung,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Endentscheid im Sinne von Art. 90 BGG. Es handelt sich um eine vermögensrechtliche Angelegenheit. Der Streitwert im Sinne von Art. 51 BGG beträgt Fr. 863'500.– (€ 550'000.– zum Kurs 1.57). Die Beschwerde an das Bundesgericht hat keine aufschiebende Wirkung. Hinsichtlich des Fristenlaufs gelten die Art. 44 ff. BGG. Zürich, 24. August 2011 Obergericht des Kantons Zürich I. Zivilkammer Der Vorsitzende: Der Gerichtsschreiber: Dr. R. Klopfer lic. iur. R. Kokotek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