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LB090013 vom 8. November 2010</w:t>
      </w:r>
    </w:p>
    <w:p>
      <w:r>
        <w:t>ZH Obergericht, 2010-11-08, DE</w:t>
      </w:r>
    </w:p>
    <w:p>
      <w:r>
        <w:rPr>
          <w:b/>
        </w:rPr>
        <w:t xml:space="preserve">Quelle: </w:t>
      </w:r>
      <w:r>
        <w:t>https://mcp.opencaselaw.ch/entscheid/zh_obergericht_LB090013</w:t>
      </w:r>
    </w:p>
    <w:p>
      <w:r>
        <w:t>FR: ZH_OBERGERICHT LB090013 du 8 novembre 2010</w:t>
      </w:r>
    </w:p>
    <w:p>
      <w:r>
        <w:t>IT: ZH_OBERGERICHT LB090013 del 8 novembre 2010</w:t>
      </w:r>
    </w:p>
    <w:p>
      <w:pPr>
        <w:pStyle w:val="Heading2"/>
      </w:pPr>
      <w:r>
        <w:t>Erwägungen</w:t>
      </w:r>
    </w:p>
    <w:p>
      <w:r>
        <w:rPr>
          <w:b/>
        </w:rPr>
        <w:t>E. 1</w:t>
      </w:r>
    </w:p>
    <w:p>
      <w:r>
        <w:t>Der Appellant rügt zunächst, die Vorinstanz habe zu Unrecht und sinnge- mäss in Verletzung von § 133 ZPO, ohne Ermittlung des Parteiwillens und der tatsächlichen Grundlagen der geschlossenen Vereinbarung vom 12. Juli 2006, di- rekt eine objektivierte Vertragsauslegung vorgenommen. Zudem habe die Vo- rinstanz die Verhandlungsmaxime verletzt, indem sie ihren betreffenden Erwä- gungen einen falschen und nicht behaupteten Sachverhalt zugrunde gelegt habe (Urk. 57 S. 5).</w:t>
      </w:r>
    </w:p>
    <w:p>
      <w:r>
        <w:rPr>
          <w:b/>
        </w:rPr>
        <w:t>E. 1.2</w:t>
      </w:r>
    </w:p>
    <w:p>
      <w:r>
        <w:t>der Vereinbarung weise einen unmöglichen Inhalt auf, so sei auch diese Auf- fassung verfehlt. Nur weil er seiner Absicherungspflicht nicht ohne das Einver- ständnis der Arbeitgeberin habe nachkommen können, heisse dies noch lange nicht, dass die Vereinbarung einen unmöglichen Inhalt aufweise. Würde dieser Auffassung gefolgt, so würden sämtliche bedingte Verträge, bei denen der Eintritt der Bedingung nicht im Einflussbereich der Parteien liege, a priori einen unmögli- chen Inhalt aufweisen, was selbstredend nicht der Fall sein könne.</w:t>
      </w:r>
    </w:p>
    <w:p>
      <w:r>
        <w:t>- 13 - 3.7 Der Eventualantrag des Appellanten betreffend Herabsetzung der Kon- ventionalstrafe sei unbegründet. Die Vorinstanz habe einlässlich begründet, wes- halb die Konventionalstrafe nicht als übermässig betrachtet werden müsse. Mit den betreffenden Erwägungen setze sich der Appellant bezeichnenderweise überhaupt nicht auseinander. Falsch sei zudem auch, wenn dieser sich auf den Standpunkt stelle, der Verkaufserlös für die D.______-Aktien sei im Hinblick auf die Höhe der Konventionalstrafe irrelevant. Gerade wegen des hohen Kaufpreises habe die Konventionalstrafe in einer abschreckenden Höhe festgesetzt werden müssen. Dies, um den Appellanten zur Einhaltung der Vereinbarung zu motivie- ren. Dass der Appellatin durch das Verhalten des Appellanten angeblich kein Schaden entstanden sei, sei vollkommen unerheblich. Wie der Appellant schliess- lich auf eine reduzierte Konventionalstrafe von Fr. 50'000.-- komme, könne nicht nachvollzogen werden. Jedenfalls bleibe kein Raum für eine Reduktion der ver- einbarten Konventionalstrafe. III. Erwägungen</w:t>
      </w:r>
    </w:p>
    <w:p>
      <w:r>
        <w:rPr>
          <w:b/>
        </w:rPr>
        <w:t>E. 2</w:t>
      </w:r>
    </w:p>
    <w:p>
      <w:r>
        <w:t>Der angefochtene Entscheid der 1. Abteilung des Bezirkgerichts Zürich vom 29. Dezember 2008 basiert auf einer Auslegung der Vereinbarung vom 12. Juli 2006. Eine solche Auslegung ist nur dann angezeigt, wenn sich die betei- ligten Parteien in einem sogenannten Auslegungsstreit befinden (Gauch/Schluep/ Schmid, Schweizerisches Obligationenrecht, Allgemeiner Teil, Band I, Zürich 2008, N 1196). Dass sich die Parteien namentlich in Bezug auf die Auslegung von Ziff. 1.2 der Vereinbarung uneins sind, liegt auf der Hand und bedarf keiner weite-</w:t>
      </w:r>
    </w:p>
    <w:p>
      <w:r>
        <w:t>- 14 - ren Erläuterungen. Die von der Vorinstanz vorgenommene Vertragsauslegung ist objektiver bzw. sogenannt normativer Natur. Eine derartige objektivierte Vertrags- auslegung kommt immer nur dann in Betracht, wenn sich der übereinstimmende Wille der Parteien nicht mehr feststellen lässt (Gauch/Schluep/Schmid, a.a.O., N 1201 und 1225). Das Bundesgericht geht in konstanter Rechtsprechung davon aus, dass der Bestand eines Vertrages ebenso wie dessen Inhalt durch Ausle- gung der Willenserklärungen der beteiligten Parteien zu ermitteln ist. Ziel dieser Vertragsauslegung ist es, in erster Linie den übereinstimmenden - sprich subjekti- ven - wirklichen Willen der Vertragsparteien festzustellen (Art. 18 Abs. 1 OR). Steht eine tatsächliche Willensübereinstimmung fest, bleibt für eine Auslegung nach dem Vertrauensgrundsatz kein Raum (BGE 128 III 70 E. 1a S. 73). Während die Feststellung des tatsächlichen, wirklichen Willens der Parteien grundsätzlich Tatfrage und damit dem Beweisverfahren zugänglich ist, stellt die objektivierte Auslegung von Willenserklärungen eine Rechtsfrage dar (BGE 132 III 632 E. 3.1 S. 632).</w:t>
      </w:r>
    </w:p>
    <w:p>
      <w:r>
        <w:rPr>
          <w:b/>
        </w:rPr>
        <w:t>E. 3</w:t>
      </w:r>
    </w:p>
    <w:p>
      <w:r>
        <w:t>Die Vorinstanz führte in ihrem Urteil vom 29. Dezember 2008 zusammen- gefasst aus, das Prozessthema reduziere sich im vorliegenden Verfahren im We- sentlichen auf die Auslegung der Vereinbarung vom 12. Juli 2006. Diesbezüglich kam sie zum Schluss, es sei letztlich irrelevant, ob der Appellant aufgrund Nicht- erfüllung seiner beruflichen Zielvorgaben den Grund für seine Kündigung gesetzt habe, oder nicht. Sein Verschulden sei vielmehr in dem Umstand zu sehen, dass er es unterlassen habe, sich bei seinem neuen Arbeitgeber gegen seine Kündi- gung abzusichern. Der Appellant habe es nämlich als Mehrheitsaktionär selber in der Hand gehabt, beim Verkauf der D.______ an die E._____ Holding AG mit entsprechenden Sicherungsabreden dafür zu sorgen, dass man ihm bis 31. De- zember 2009 seinen Arbeitsvertrag als Geschäftsführer der neu gegründeten E._____ AG nicht habe kündigen können (Urk. 42 S. 12 ff.). Mit anderen Worten geht die Vorinstanz in ihren Erwägungen implizit davon aus, dass sich der wirkli- che und übereinstimmende Wille der Parteien namentlich im Hinblick auf den Ver- tragspassus "aus Gründen, die das D._____ Management zu verantworten hat", nicht mehr feststellen lasse. Diese Vorgehensweise der Vorinstanz vermag nicht</w:t>
      </w:r>
    </w:p>
    <w:p>
      <w:r>
        <w:t>- 15 - zu überzeugen und lässt sich - wie nachfolgend aufzuzeigen sein wird - bei nähe- rer Betrachtung der Akten- und Sachlage nicht aufrechterhalten.</w:t>
      </w:r>
    </w:p>
    <w:p>
      <w:r>
        <w:rPr>
          <w:b/>
        </w:rPr>
        <w:t>E. 4</w:t>
      </w:r>
    </w:p>
    <w:p>
      <w:r>
        <w:t>Nachdem im erstinstanzlichen Hauptverfahren zunächst beide Parteien davon ausgegangen sind, die Konventionalstrafe sei dann geschuldet, wenn den Appellanten an der von seiner Arbeitgeberin ausgesprochenen Kündigung ein Verschulden im Sinne eines ihm subjektiv vorwerfbaren Verhaltens treffe, führte die Appellatin im Rahmen der Replik dazu ergänzend was folgt aus (Urk. 24 S. 9 RZ 30): "Neben der genannten direkten Einflussmöglichkeit des Beklagten in Bezug auf die "zu verantwortenden Gründe", welche die Frage der Unmöglichkeit verneint, wenn denn fehlende Einflussmöglichkeiten zur Unmöglichkeit füh- ren würde (was nicht der Fall ist), hatte der Beklagte in casu noch eine wei- tere Möglichkeit der Einflussnahme. Diese wird im Vertragstext mit "berech- tigterweise" ausgedrückt (s. Ziffer 1.2 der Vereinbarung). Die Arbeitgeberin kann nur "berechtigterweise" aus Gründen, die der Beklagte zu verantworten hat, das Arbeitsverhältnis auflösen. Die Arbeitgeberin muss also berechtigt sein, das Arbeitsverhältnis aus diesen Gründen aufzulösen. Diese Berechti- gung der Arbeitgeberin hätte der Beklagte über seinen Arbeitsvertrag mit der D.______ bzw. ihrer Rechtsnachfolgerin ohne weiteres beeinflussen kön- nen. Er hätte die Möglichkeit gehabt, zu verhindern, dass die Arbeitgeberin berechtigt ist, aus jedem in seinem Verantwortungsbereich liegenden Grund das Arbeitsverhältnis auszulösen [recte: aufzulösen] (z.B. durch klare Defini- tion von Leistungszielen, weitgehende Ausbedingung von Autonomie in der personellen wie geschäftlichen Unternehmensleitung etc.) Offensichtlich hat er dies unterlassen - in Kenntnis seiner Verpflichtung gegenüber der Klägerin, das Arbeitsverhältnis bis zu einem bestimmten Zeitpunkt weiterzu- führen -, was für sich alleine schon sein Verschulden an der Kündigung der Arbeitgeberin darstellt." Im Rahmen der Duplik liess der Appellant die betreffende Behauptung bestreiten und brachte seinerseits verschiedene Behauptungen vor, weshalb eine "Absiche- rung" wie sie von der Appellatin geltend gemacht wurde, nicht dem damaligen</w:t>
      </w:r>
    </w:p>
    <w:p>
      <w:r>
        <w:t>- 16 - Willen der Vertragsparteien entsprochen haben könne (Urk. 32 S. 5 RZ 12 ff.). Unter Anderem machte der Appellant geltend, eine Absicherung sei allein schon aus zeitlichen Gründen gar nicht möglich gewesen (Urk. 32 S. 5 RZ 15 f.). Dies- bezüglich stellte sich die Vorinstanz auf den Standpunkt, dass die betreffende Behauptung des Appellanten "vor dem Hintergrund eines solchen Millionendeals als blosse Schutzbehauptung" erscheine (Urk. 42 S. 15). Abgesehen von dieser marginalen Bemerkung unterliess sie es gänzlich, sich mit den Darstellungen des Appellanten auseinander zu setzen. Dies wäre jedoch vorliegend zwingend ange- zeigt gewesen, da es, wie bereits erwähnt, primäres Ziel der Vertragsauslegung sein muss, den übereinstimmenden - sprich subjektiven - wirklichen Willen der Vertragsparteien festzustellen. Nachdem der massgebliche Sachverhalt im Hin- blick auf das Zustandekommen der Vereinbarung vom 12. Juli 2006 umstritten ist, muss das Gericht sämtliche in diesem Zusammenhang relevanten und hinrei- chend substantiierten Behauptungen zum Beweis verstellen, um auf diese Weise den wirklichen Willen der Vertragsparteien zu eruieren (Art. 18 Abs. 1 OR). Steht aufgrund des durchzuführenden Beweisverfahrens eine tatsächliche Willensüber- einstimmung der Parteien fest, so bleibt für eine objektivierte Vertragsauslegung - wie bereits an anderer Stelle ausgeführt - kein Raum (BGE 128 III 70 E. 1a S. 73). Erst wenn eine tatsächliche Willensübereinstimmung unbewiesen bleibt, sind zur Ermittlung des mutmasslichen Parteiwillens die Erklärungen der Parteien auf- grund des Vertrauensprinzips so auszulegen, wie sie nach Ihrem Wortlaut und Zusammenhang sowie den gesamten Umständen verstanden werden durften und mussten (BGE 131 III 467 E. 1.1 S. 470).</w:t>
      </w:r>
    </w:p>
    <w:p>
      <w:r>
        <w:rPr>
          <w:b/>
        </w:rPr>
        <w:t>E. 5</w:t>
      </w:r>
    </w:p>
    <w:p>
      <w:r>
        <w:t>Indem die Vorinstanz direkt eine objektivierte Vertragsauslegung ohne die Durchführung eines Beweisverfahrens vorgenommen hat, hat sie materiell den grundsätzlichen Anspruch des Appellanten auf Beweisführung gemäss Art. 8 ZGB und formell § 133 ZPO missachtet (Frank/Sträuli/Messmer, Kommentar zur zür- cherischen Zivilprozessordnung, N 3 zu § 133). Dies wurde vom Appellanten zu Recht gerügt (Urk. 57 S. 5 ff.). Damit hat die Vorinstanz den Nichtigkeitsgrund von § 281 Ziff. 1 ZPO gesetzt. Ihr Entscheid ist deshalb schon aus diesem Grund auf- zuheben und der Prozess zurückzuweisen, um das Versäumte nachzuholen (§ 270 ZPO). Dabei wird es Aufgabe der Vorinstanz sein, im Rahmen eines Be-</w:t>
      </w:r>
    </w:p>
    <w:p>
      <w:r>
        <w:t>- 17 - weisverfahrens abzuklären, ob sich der übereinstimmende, wirkliche Wille der Parteien anhand der vorgetragenen Behauptungen ermitteln respektive rechts- genüglich beweisen lässt. Sofern sich aufgrund des Beweisverfahrens ergeben sollte, dass dem Passus "aus Gründen, die das D._____ Management zu verant- worten hat" ein dahingehender Konsens zu Grunde liegt, dass ausschliesslich konkrete berufliche Fehlleistungen der Mitglieder des sogenannten Top Manage- ments mit der vereinbarten Konventionalstrafe sanktioniert werden sollten, so wird über ein dem Appellanten zurechenbares Verschulden an der erfolgten Kündi- gung - wie die Vorinstanz zu Recht ausführte (Urk. 42 S. 12) - ebenfalls noch Be- weis zu erheben sein.</w:t>
      </w:r>
    </w:p>
    <w:p>
      <w:r>
        <w:rPr>
          <w:b/>
        </w:rPr>
        <w:t>E. 6</w:t>
      </w:r>
    </w:p>
    <w:p>
      <w:r>
        <w:t>Bei diesem Ausgang des Verfahrens hat sich die Berufungsinstanz weder mit dem konkreten Auslegungsergebnis der Vorinstanz, noch mit den im Rahmen des Berufungsverfahrens weiter vorgebrachten Einwänden auseinander zu set- zen. Lediglich der Vollständigkeit halber ist die Vorinstanz jedoch bereits jetzt da- rauf hinzuweisen, dass sie im Rahmen ihrer Vertragsauslegung zu Unrecht er- wog, der Appellant sei "Mehrheitsaktionär der D.______" gewesen und er habe es unterlassen sich bei seiner "neuen" respektive "künftigen" Arbeitgeberin gegen eine Kündigung abzusichern. Beide Annahmen sind aktenwidrig, was der Appel- lant zu Recht beanstandet (Urk. 57 S. 49) und von der Appellatin ausdrücklich anerkannt wurde (Urk. 62 S. 10 und Urk. 71 S. 13). Zutreffend ist, dass der Appel- lant an der im März 2005 gegründeten D.______ im Rahmen des Managements Buyout vom 1. Januar 2006 einen Aktienanteil von 36 % erwarb. Dieser Anteil machte ihn zwar zum Hauptaktionär, nicht aber, wie fälschlicherweise durch die Vorinstanz erwogen, zum Mehrheitsaktionär. Ob es sich bei dieser Bezeichnung der Vorinstanz lediglich um ein redaktionelles oder um ein inhaltliches Versehen handelt und inwiefern dieses entscheidrelevant war, kann vorliegend offen blei- ben, da sich die Erstrichter mit dieser Frage ohnehin noch einmal werden ausei- nandersetzen müssen. Ähnliches gilt für die Frage, ob der Appellant eine neue Arbeitgeberin erhalten hat, wie dies die Vorinstanz ihrem Entscheid zugrunde leg- te. Auch diesbezüglich geht sie von falschen Annahmen aus. Der Appellant erhielt nämlich keine neue Arbeitgeberin und solches wurde von den Parteien auch nicht behauptet. Er war - und insofern sind sich die Parteien einig - Geschäftsführer der</w:t>
      </w:r>
    </w:p>
    <w:p>
      <w:r>
        <w:t>- 18 - D.______ und diese wurde im Nachhinein in die E._____ AG umfirmiert. Damit trat wohl ein Firmenwechsel, nicht aber ein Wechsel der Arbeitgeberin des Appel- lanten ein. Diesem Aspekt wird bei einer Neubeurteilung der Sachlage durch die Vorinstanz ebenfalls Rechnung zu tragen sein.</w:t>
      </w:r>
    </w:p>
    <w:p>
      <w:r>
        <w:rPr>
          <w:b/>
        </w:rPr>
        <w:t>E. 7</w:t>
      </w:r>
    </w:p>
    <w:p>
      <w:r>
        <w:t>Im Sinne einer Zusammenfassung ergibt sich, dass dem Appellanten Ge- legenheit gegeben werden muss, seine Beweisführung, auf die er Anspruch hat, anzutreten. Das angefochtene Urteil ist daher aufzuheben und der Prozess ist zur Ergänzung des Verfahrens im Sinne der vorstehenden Erwägungen und zu neu- em Entscheid an die Vorinstanz zurückzuweisen. IV. Kosten- und Entschädigungsfolgen 1. Zufolge der Rückweisung des Verfahrens an die Vorinstanz sind für das Berufungsverfahren zwar Kosten festzusetzen, deren Auflage und die Regelung der Entschädigungsfolgen jedoch dem dafür massgeblichen Endentscheid der Vorinstanz vorzubehalten. 2. In Anbetracht der Rückweisung des Verfahrens an die Vorinstanz ist die vom Appellanten geleistete Prozesskaution in der Höhe von Fr. 86'000.-- einst- weilen einzubehalten und es wird Aufgabe der Vorinstanz sein, über deren Ver- wendung respektive die Herausgabe im Rahmen des Endentscheides zu befin- den. Das Gericht beschliesst: 1. Das Urteil des Bezirksgerichts Zürich, 1. Abteilung, vom 29. Dezember 2008 wird aufgehoben und der Prozess wird zur Durchführung eines Beweisver- fahrens im Sinne der Erwägungen und zu neuer Entscheidung an die Vo- rinstanz zurückgewiesen. 2. Die zweitinstanzliche Gerichtsgebühr wird festgesetzt auf Fr. 20'000.--.</w:t>
      </w:r>
    </w:p>
    <w:p>
      <w:r>
        <w:t>- 19 - 3. Die Regelung der Kosten- und Entschädigungsfolgen des vorliegenden Be- rufungsverfahrens wird dem neuen Entscheid der Vorinstanz vorbehalten. 4. Schriftliche Mitteilung an die Parteien und das Bezirksgericht Zürich, 1. Ab- teilung, je gegen Empfangsschein. Die erst- und zweitinstanzlichen Akten werden der Vorinstanz nach unbe- nutztem Ablauf der Rechtsmittelfrist zugestellt. 5. Gegen diesen Entscheid kann innert 30 Tagen nach dessen Empfang beim Kassationsgericht des Kantons Zürich, Postfach, 8022 Zürich, durch eine dem § 288 der Zivilprozessordnung (ZPO) entsprechende Eingabe im Dop- pel kantonale Nichtigkeitsbeschwerde im Sinne des § 281 ZPO geführt wer- den. __________________________________ OBERGERICHT DES KANTONS ZÜRICH I. Zivilkammer Der juristische Sekretär: lic. iur. A. Baumgartner versandt: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