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LB050019 vom 31. Mai 2006</w:t>
      </w:r>
    </w:p>
    <w:p>
      <w:r>
        <w:t>ZH Obergericht, 2006-05-31, DE</w:t>
      </w:r>
    </w:p>
    <w:p>
      <w:r>
        <w:rPr>
          <w:b/>
        </w:rPr>
        <w:t xml:space="preserve">Quelle: </w:t>
      </w:r>
      <w:r>
        <w:t>https://mcp.opencaselaw.ch/entscheid/zh_obergericht_LB050019</w:t>
      </w:r>
    </w:p>
    <w:p>
      <w:r>
        <w:t>FR: ZH_OBERGERICHT LB050019 du 31 mai 2006</w:t>
      </w:r>
    </w:p>
    <w:p>
      <w:r>
        <w:t>IT: ZH_OBERGERICHT LB050019 del 31 maggio 2006</w:t>
      </w:r>
    </w:p>
    <w:p>
      <w:pPr>
        <w:pStyle w:val="Heading2"/>
      </w:pPr>
      <w:r>
        <w:t>Volltext</w:t>
      </w:r>
    </w:p>
    <w:p>
      <w:r>
        <w:t>§ 29 ZPO/ZH, vom Gericht bestellter Vertreter. Der Vertreter ist aus der Ge- richtskasse zu honorieren. (aus einem Entscheid des Obergerichts:) Rechtsanwalt Dr. X wurde vom Gericht bestellt und ist daher zunächst aus der Gerichtskasse zu honorieren. Der Beklagte [Anm.: dem der Anwalt bestellt wurde, weil er sich gegenüber dem Gericht nicht adäquat ausdrücken konnte] prozessiert allerdings nicht im Armenrecht. Er hat der Gerichtskasse das Bezahlte daher zu ersetzen, und zwar sofort und unabhängig vom Ausgang des Verfah- rens. Ob und wie er dafür Rückgriff auf seine Prozessgegner hat, ist mit dem Ent- scheid in der Sache im Rahmen der Prozessentschädigung festzulegen. Das Gericht beschliesst: 1. Für seine Tätigkeit als Vertreter des Beklagten im Sinne von § 29 ZPO wird Rechtsanwalt Dr. X eine Entschädigung von Fr. 4'559.55 aus der Gerichts- kasse ausbezahlt. 2. Der Beklagte wird verpflichtet, den Betrag der Gerichtskasse zu ersetzen. Obergericht, II. Zivilkammer Beschluss vom 31. Mai 2006 Geschäfts-Nr. LB050019/Z14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