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LB010016 vom 6. November 2001</w:t>
      </w:r>
    </w:p>
    <w:p>
      <w:r>
        <w:t>ZH Obergericht, 2001-11-06, DE</w:t>
      </w:r>
    </w:p>
    <w:p>
      <w:r>
        <w:rPr>
          <w:b/>
        </w:rPr>
        <w:t xml:space="preserve">Quelle: </w:t>
      </w:r>
      <w:r>
        <w:t>https://mcp.opencaselaw.ch/entscheid/zh_obergericht_LB010016</w:t>
      </w:r>
    </w:p>
    <w:p>
      <w:r>
        <w:t>FR: ZH_OBERGERICHT LB010016 du 6 novembre 2001</w:t>
      </w:r>
    </w:p>
    <w:p>
      <w:r>
        <w:t>IT: ZH_OBERGERICHT LB010016 del 6 novembre 2001</w:t>
      </w:r>
    </w:p>
    <w:p>
      <w:pPr>
        <w:pStyle w:val="Heading2"/>
      </w:pPr>
      <w:r>
        <w:t>Erwägungen</w:t>
      </w:r>
    </w:p>
    <w:p>
      <w:r>
        <w:rPr>
          <w:b/>
        </w:rPr>
        <w:t>E. 2</w:t>
      </w:r>
    </w:p>
    <w:p>
      <w:r>
        <w:t>Am 15. März 1996 reichten die Beklagten beim Einzelrichter des Be- zirksgericht Horgen eine Aufsichtsbeschwerde gegen den Kläger ein, mit dem Begehren, der Willensvollstrecker sei richterlich anzuweisen, die Verkaufsver- handlungen betreffend Nachlassgrundstücke sofort einzustellen, innert Frist im Sinne einer Realteilung die Grundstücke ins Gesamteigentum (einfache Gesell- schaft) aller Erben zu überführen und die Teilungs- und Schlussrechnung zu er- stellen. Der Einzelrichter im summarischen Verfahren des Bezirkes Horgen hiess die Beschwerde mit Verfügung vom 30. Mai 1996 gut (act. 5/6); sie wurde nach Abschluss des Rechtsmittelverfahrens aufgrund eines bundesgerichtlichen Ent- scheides am 20. Februar 1997 rechtskräftig.</w:t>
      </w:r>
    </w:p>
    <w:p>
      <w:r>
        <w:rPr>
          <w:b/>
        </w:rPr>
        <w:t>E. 3</w:t>
      </w:r>
    </w:p>
    <w:p>
      <w:r>
        <w:t>a) Der Kläger verlangt in Ziffer 1 seiner Rechtsbegehren die Ungültiger- klärung des von den Beklagten am 3., 4., 6., 7. und 9. Juli 1997 unterschriebenen und öffentlich beurkundeten Erbteilungsvertrages, womit die Erbengemeinschaft bezüglich sämtlicher Nachlassgrundstücke aufgehoben und diese Grundstücke in eine Einfache Gesellschaft eingebracht werden sollen. b) Er begründet sein Begehren damit, dass den Beklagten für den Ab- schluss des Vertrages "Objektiv beschränkte Erbteilung" die Verfügungsberechti- gung über die Liegenschaften gefehlt habe, da diese in seiner alleinigen Verfü- gungsberechtigung als Willensvollstrecker stehen würden (act. 2 S. 16). Im Weiteren macht der Kläger geltend, dass die Beklagten untereinander nicht mehr einig seien und ein Prozess bezüglich der Erbenqualität der Beklagten 3, 4 und 5 hängig sei (act. 44 S. 6 ff.). Wenn die Beklagten 1, 2, 6 und 7 bei ihrer eigenen Rechtsauffassung behaftet würden, sei die in der "Objektiv beschränkten Erbteilung" abgegebene Erklärung daher für diese selbst unverbindlich (act. 44 S. 7). Zur Klage sei er legitimiert, da die Überführung von Nachlassliegenschaf- ten von der Erbengemeinschaft in eine einfache Gesellschaft keine Erbteilung im Rechtssinne darstelle und somit der Nachlass noch nicht geteilt und er somit nach wie vor Willensvollstrecker über die Liegenschaften sei. Als Willensvollstrecker stehe ihm die Prozessführungsbefugnis, welche umfassend sei, zu. Zudem werde so getan, als sei die allfällige "objektiv beschränkte Erbteilung" nach wie vor in Kraft, obwohl es aktenkundig sei, dass diese mit allen damit zusammenhängen-</w:t>
      </w:r>
    </w:p>
    <w:p>
      <w:r>
        <w:t>den Erklärungen und Vereinbarungen angefochten worden sei (act. 44 S. 9 und 10). Das Feststellungsinteresse ergebe sich aus dem gesetzlichen Auftrag des Willensvollstreckers zur gesetzeskonformen Vollstreckung des Erblasserwillens in Verbindung mit der Tatsache, dass die öffentliche "Erbgangsurkunde" vom 2. Mai 1997, die eine ungültige, weil ohne Mitwirkung des allein verfügungsberechtigten Willensvollstreckers erfolgende Übertragung der Nachlassliegenschaften vom Erblasser auf die Erben beurkunde, als Grundlage für die ungültige Überführung dieser Nachlassliegenschaften aus der Erbengemeinschaft in die Einfache Ge- sellschaft gedient habe (act. 2 S. 32 und 33). c) Die Beklagten 1, 2, 6 und 7 machen demgegenüber geltend, der Kläger habe den Beklagten im Brief vom 4. März 1997 die Ermächtigung erteilt, die Erb- gangsurkunde und die "Objektiv beschränkte Erbteilung" zu unterzeichnen und auf dem Grundbuchamt Horgen anmelden zu lassen (act. 16 S. 8). Im Weiteren bestreiten die Beklagten 1, 2, 6 und 7 das rechtliche Interesse des Klägers. Der vom Kläger erwähnte gesetzliche Auftrag des Willensvollstre- ckers finde nämlich gerade seine Schranken im jederzeitigen und unbedingten freien Teilungsrecht der Erben. Auch die Behauptung, dass allein der Willensvoll- strecker zur Übertragung der Nachlassliegenschaften vom Erblasser auf die Er- ben befugt gewesen sei, ist gemäss den Beklagten 1, 2, 6 und 7 unhaltbar (act. 56 S. 4). Die Beklagten 3, 4 und 5 machen geltend, dass die Erben keine Zustim- mung des Willensvollstreckers benötigt hätten, um einen Erbteilungsvertrag abzu- schliessen, da dieses Rechtsgeschäft einerseits nicht zulasten des Nachlasses gehe und andererseits nicht mehr ausschliesslich in die Kompetenz des Willens- vollstreckers falle, nachdem sich sämtliche Erben bezüglich der Teilungshandlun- gen einig gewesen seien (act. 57 S. 8). Im Übrigen sei der Kläger mit der Umset- zung des Erbenbeschlusses als solchem einverstanden gewesen und habe nur Vorbehalte bezüglich der für solche Geschäfte unüblich kurzen Fristansetzung zum Vollzug dieses Beschlusses vorgebracht. Damit habe der Kläger aber einge-</w:t>
      </w:r>
    </w:p>
    <w:p>
      <w:r>
        <w:t>räumt, dass er mit den Teilungshandlungen der Beklagten einverstanden gewe- sen sei und habe somit die Zustimmung erteilt (act. 57 S. 8). Zudem bestreiten sie das Rechtsschutzinteresse des Klägers, denn auf- grund der "Objektiv beschränkten Erbteilung" und der folgenden Überführung der fraglichen Grundstücke in eine einfache Gesellschaft seien die verschiedenen Grundstücke in der Folge an zwei verschiedene Käufer veräussert worden. Zwi- schenzeitlich hätten auch die Eigentumsübertragungen an diese Käufer stattge- funden. Nachdem die Liegenschaften an Dritte veräussert worden und der Erlös verteilt worden sei, sei die Aufgabe des Willensvollstreckers abgeschlossen (act. 57 S. 6).</w:t>
      </w:r>
    </w:p>
    <w:p>
      <w:r>
        <w:rPr>
          <w:b/>
        </w:rPr>
        <w:t>E. 4</w:t>
      </w:r>
    </w:p>
    <w:p>
      <w:r>
        <w:t>a) Gemäss § 59 ZPO wird auf Klagen betreffend Feststellung des Be- stehens oder Nichtbestehens eines Rechtsverhältnisses nur eingetreten, wenn ein rechtliches Interesse an der Feststellung besteht. Mit Verfügung des Einzelrichters im summarischen Verfahren des Bezirks- gerichtes Horgen vom 30. Mai 1996, rechtskräftig nach bundesgerichtlichem Ent- scheid am 20. Februar 1997, wurde der Kläger in Gutheissung einer Aufsichtsbe- schwerde der Beklagten angewiesen, innert 20 Tagen seit Rechtskraft der Verfü- gung die Grundstücke im Sinne einer Realteilung ins Gesamteigentum (einfache Gesellschaft) aller Erben zu überführen (act. 5/6). In casu ist kein rechtliches Interesse des Klägers an der Feststellungsklage bezüglich Ungültigerklärung des Vertrages "Objektiv beschränkte Erbteilung" er- sichtlich, da schlussendlich die materielle Rechtslage dieselbe ist, wenn der Klä- ger den Erbteilungsvertrag aufgesetzt und zur Anmeldung im Grundbuch ange- meldet hätt b) Obwohl Ziffer 1 der klägerischen Rechtsbegehren bereits am fehlenden Rechtsschutzinteresse scheitert, wird (im Hinblick auf das zweite Begehren des Klägers) im folgenden dennoch die materielle Prüfung des ersten Begehrens vor- genommen.</w:t>
      </w:r>
    </w:p>
    <w:p>
      <w:r>
        <w:rPr>
          <w:b/>
        </w:rPr>
        <w:t>E. 5</w:t>
      </w:r>
    </w:p>
    <w:p>
      <w:r>
        <w:t>a) Das Erbteilungsrecht wird vom Grundsatz der freien vertraglichen Erb- teilung beherrscht (Art. 607 Abs. 2 ZGB). Leitgedanke soll sein, dass die Teilung</w:t>
      </w:r>
    </w:p>
    <w:p>
      <w:r>
        <w:t>der Erbschaft grundsätzlich ausschliesslich Sache der Erben ist. Unter der Vo- raussetzung, dass unter allen Erben Einigkeit über die Art der Teilung herrscht, sollen die Erben weder durch die gesetzliche noch die erblasserische Erbfolge oder Teilungsvorschriften gebunden sein (Schaufelberger, N. 5 zu Art. 607 ZGB, a.a.O.). Auch der Zeitpunkt der Erbteilung wird nicht durch den Willensvollstre- cker, sondern aufgrund von Art. 604 ZGB durch die Erben festgesetzt. Die Erben können so auch durch einstimmigen Beschluss die Erbteilung vornehmen, wenn noch kein Teilungsvorschlag des Willensvollstreckers vorliegt. Die Erbengemeinschaft endet mit der Erbteilung, d.h. mit der vollständigen Aufteilung des gesamten Nachlasses unter den Erben. b) Das Obergericht des Kantons Zürich führte in seinem Beschluss vom 12. August 1996 (Rekurs gegen den Aufsichtsbeschwerdeentscheid des Einzelrich- ters vom 30. Mai 1996) aus, dass die Frage der Bindung des Willensvollstreckers an Absprachen unter den Erben, einschliesslich der Zulässigkeit des Abweichens von erblasserischen Teilungsvorschriften, heute einheitlich im Sinne der freien Gestaltungsbefugnis der Erben beantwortet wird. Diese Ansicht wird im Wesentli- chen damit begründet, dass die erblasserischen Anordnungen insgesamt, wie auch die Einsetzung eines Willensvollstreckers sich gegen Konflikte unter den Erben, nicht aber gegen eine Einigung unter ihnen richten (act. 5/7 S. 6). Das Obergericht führte im Weiteren aus, dass die Überführung von Grundstücken des Nachlasses ins Gesamteigentum aller Erben, die eine einfache Gesellschaft bil- den, eine Realteilung darstellt (act. 5/7 S. 8 und 9). c) Die Überführung der Erbengemeinschaft in eine andere rechtliche Ge- meinschaftform bedarf jedoch in jedem Falle, auch wenn die neue Gemein- schaftsform wie die einfache Gesellschaft formlos gegründet werden kann, einer entsprechenden Vereinbarung unter den Erben (Schaufelberger, N. 36 zu Art. 602, a.a.O.). Ein gültiger Erbteilungsvertrag setzt eine Einigung aller Erben im Sinne von Art. 1 OR voraus. Zudem ist der Vertrag von allen Erben zu unter- schreiben (Schaufelberger N. 15 zu Art. 634, a.a.O.).</w:t>
      </w:r>
    </w:p>
    <w:p>
      <w:r>
        <w:t>d) In casu teilten die Beklagten dem Kläger mit Schreiben vom 19. Januar 1996 ihre einstimmig gefassten Beschlüsse ausdrücklich mit, wonach die Erben- gemeinschaft durch Zuweisung der Grundstücke an alle Erben zu Gesamteigen- tum im Sinne einer Realteilung aufzulösen sei, die Eintragung der Erben und die schriftliche Vereinbarung über die Realteilung beim Grundbuchamt anzumelden seien (act. 5/3). Der Willensvollstrecker ist an die Einigung der Beklagten gebun- den, sofern sie tauglich und praktisch durchführbar ist. Im vorliegenden Fall ist eine Bindung umso mehr zu bejahen, als die Beschlüsse der Erben nicht im Wi- derspruch zum Willen des Erblassers im Testament stehen, der bezüglich der Liegenschaften keine Teilungsanordnung traf, sondern lediglich verfügte, dass der Willensvollstrecker seinen Erben nach bestem Wissen und Gewissen bei der Tei- lung des Nachlasses behilflich sein soll. Nur wenn sich die Einigung der Erben als gesetzeswidrig oder schlichtweg undurchführbar erweist, kann sich der Willens- vollstrecker darüber hinwegsetzen. Vorliegend ist aus dem Antrag der Beklagten, die Grundstücke seien im Sinne einer Realteilung ins Gesamteigentum (einfache Gesellschaft) aller Erben zu überführen, eindeutig der Wille ersichtlich, die Erbengemeinschaft aufzulösen und die Anteile an den Nachlassliegenschaften in eine neu begründete einfache Gesellschaft einzubringen. Mit der Unterzeichnung der "Objektiv beschränkte Erb- teilung" am 3., 4., 6., 7. und 9. Juli 1997 von sämtlichen Erben schlossen die Be- klagten einstimmig einen schriftlichen Erbteilungsvertrag. Der Vertrag kam somit nach Art. 1 OR gültig zustand Da die Überführung der Nachlassliegenschaften in eine einfache Gesellschaft eine Realteilung darstellt, ist die diesbezügliche Eini- gung der Beklagten durchführbar. Der von den Beklagten geschlossene Vertrag mit dem Titel "Objektiv be- schränkte Erbteilung" wurde somit rechtsgültig abgeschlossen. In der Zwischenzeit wurde der Vertrag "Objektiv beschränkte Erbteilung" von den Beklagten 1, 2, 6 und 7 beim Bezirksgericht Horgen angefochten. Dieses Verfahren ist noch hängig, weshalb der angefochtene Vertrag grundsätzlich nach wie vor Gültigkeit hat.</w:t>
      </w:r>
    </w:p>
    <w:p>
      <w:r>
        <w:rPr>
          <w:b/>
        </w:rPr>
        <w:t>E. 6</w:t>
      </w:r>
    </w:p>
    <w:p>
      <w:r>
        <w:t>Die Feststellungsklage auf Ungültigkeit des Vertrages "Objektiv be- schränkte Erbteilung" ist somit sowohl mangels Rechtsschutzinteresses als auch aus materiellen Gründen abzuweisen. B. Begehren um Grundbuchberichtigung</w:t>
      </w:r>
    </w:p>
    <w:p>
      <w:r>
        <w:rPr>
          <w:b/>
        </w:rPr>
        <w:t>E. 7</w:t>
      </w:r>
    </w:p>
    <w:p>
      <w:r>
        <w:t>a) Der Kläger verlangt in Absatz 1 und 2 des zweiten Begehrens, es sei festzustellen, dass die Grundbucheintragung der Beklagten 1, 2, 6 und 7 sowie des Erbstammes der Beklagten 3, 4 und 5 als "Gesamteigentümer infolge einfa- cher Gesellschaft" der in der Gemeinde Oberrieden gelegenen Liegenschaften Kat.Nrn …, ungerechtfertigt ist, und es sei das Grundbuchamt Horgen demzufolge anzuweisen, hinsichtlich der genannten Liegenschaften den Grundbucheintrag der Beklagten zu berichtigen, indem die Beklagten 1, 2, 6 und 7 sowie der Erb- stamm der Beklagten 3, 4 und 5 als "Gesamteigentümer zufolge Erbengemein- schaft" eingetragen werden. Die Grundbuchberichtigungsklage nach Art. 975 ZGB ist primär eine Fest- stellungsklage, da sie bezweckt, in Bezug auf ein bestimmtes Grundstück den wirklichen Stand der sich darauf beziehenden dinglichen Rechte festzulegen (Heinz Rey, Die Grundlagen des Sachenrechts und Eigentum, Band I, Bern 1991, N. 2125). Es ist somit angezeigt, den ersten und zweiten Abschnitt des zweiten Be- gehrens gemeinsam zu behandeln. b) Der Kläger macht geltend, dass die Beklagten, den für eine Grundbuch- eintragung erforderlichen Ausweis über ihr Verfügungsrecht betreffend die sich im Nachlass befindlichen Liegenschaften nicht vorlegen konnten. Dass dieses Verfü- gungsrecht ausschliesslich dem Willensvollstrecker zugestanden hätte, sei allen Beteiligten bestens bekannt gewesen. Der Grundbucheintrag hätte demzufolge vom zuständigen Beamten mangels Verfügungsberechtigung der antragstellen- den Erben verweigert werden müssen (act. 2 S. 32). Zur vorliegenden Klage sei er legitimiert, da der Willensvollstrecker, der sogar ein Grundstück veräussern dürfe, in maiore minus auch aktivlegitimiert für</w:t>
      </w:r>
    </w:p>
    <w:p>
      <w:r>
        <w:t>die Grundbuchberichtigungsklage sein müsse (act. 2 S. 31). Sei der Nachlass zudem nicht geteilt, so sei er nach wie vor Willensvollstrecker auch über die Lie- genschaften des Nachlasses. Dann aber sei die Aktivlegitimation zur Grundbuch- berichtigungsklage nicht abzusprechen, da die Prozessführungsbefugnis des Wil- lensvollstreckers umfassend sei (act. 44 S. 10 und 11). c) Die Beklagten 1, 2, 6 und 7 bestreiten das Rechtsschutzinteresse des Klägers, da dieser zur Grundbuchberichtigungsklage nicht legitimiert sei (act. 56 S. 8). Weiter führen sie aus, dass das Schreiben des Willensvollstreckers vom 4. März 1997 mit dem Satz "Da Sie ohnehin wünschen, den Vertrag des Notars zu überprüfen, bin ich der Meinung, dass Sie direkt verhandeln und die öffentliche Beurkundung von den Erben unterzeichnen lassen." (act. 19/11) für sie als Voll- macht zur Anmeldung der Grundbucheintragung der Beklagten als Gesamteigen- tümer infolge einfacher Gesellschaft der Liegenschaften beim Grundbuchamt Horgen aufzufassen gewesen sei (act. 16 S. 10). Die Beklagten 3, 4 und 5 bestreiten das Rechtsschutzinteresse des Klägers bezüglich des Feststellungsbegehrens in Absatz 1. Es handle sich lediglich um eine Vorfrage zum zweiten Teil des Rechtsbegehrens, welcher keiner selbständi- gen Feststellung bedürfe, da mit der Grundbuchberichtigung auch die Ungerecht- fertigkeit der Grundbucheinträge enthalten sei (act. 57 S. 9). Bezüglich der Grundbuchberichtigungsklage sei der Kläger nicht aktivlegi- timiert. Der Kläger verlange nicht, dass seine Person bezüglich der Nachlass- grundstücke im Grundbuch als Eigentümer eingetragen werde, sondern dass Drit- te, nämlich die Beklagten als Gesamteigentümer zufolge Erbengemeinschaft ein- getragen werden. Dadurch sei offensichtlich, dass der Kläger nicht in seinen ding- lichen Rechten verletzt sei. d) Nach Art. 975 Abs. 1 ZGB kann jedermann, der durch den ungerechtfer- tigten Eintrag eines dinglichen Rechtes im Grundbuch in seinen dinglichen Rech- ten verletzt ist, auf Löschung oder Abänderung des Eintrages klagen. Aktivlegiti- miert zur Grundbuchberichtigungsklage ist somit, wer durch den ungerechtfertig- ten Eintrag in seinen dinglichen Rechten verletzt ist.</w:t>
      </w:r>
    </w:p>
    <w:p>
      <w:r>
        <w:t>Als Willensvollstrecker hat der Kläger keine dinglichen Rechte an der Erb- schaft (BGE 90 II 382), womit er auch nicht in seinen dinglichen Rechten verletzt sein kann. Der Kläger verlangt selbst nur die Berichtigung des Eintrages der Beklag- ten von "Gesamteigentümer infolge einfacher Gesellschaft" in "Gesamteigentümer zufolge Erbengemeinschaft" und keinen Eintrag von sich persönlich. Der Kläger ist somit nicht in seinen dinglichen Rechten verletzt und verfügt daher nicht über Aktivlegitimation zur Anhebung der vorliegenden Grundbuchbe- richtigungsklag e) Dieses Begehren ist somit wegen mangelnder Aktivlegitimation des Klä- gers zur Grundbuchberichtigungsklage abzuweisen. C. Begehren um Anweisung des Grundbuches, den Kläger als Willens- vollstrecker anzuführen</w:t>
      </w:r>
    </w:p>
    <w:p>
      <w:r>
        <w:rPr>
          <w:b/>
        </w:rPr>
        <w:t>E. 8</w:t>
      </w:r>
    </w:p>
    <w:p>
      <w:r>
        <w:t>a) Der Kläger verlangt im dritten Abschnitt des zweiten Begehrens, dass das Grundbuchamt angewiesen werde, den Kläger mit seiner Identifikation und seiner Funktion als Willensvollstrecker in der Abteilung "Eigentum" des Grund- buchs anzuführen. b) Der Kläger begründet dieses Begehren folgendermassen: Gemäss Art. 31 Abs. 4 GBV dürfe sich der Willensvollstrecker in der Abteilung "Eigentum" des Grundbuches mit seiner Identifikation und seiner Funktion "anführen" lassen (act. 2 S. 30). c) Die Beklagten 1, 2, 6 und 7 bestreiten den Anspruch des Klägers und begründen dies damit, dass der Kläger nicht zur Grundbuchberichtigungsklage legitimiert sei. Die Beklagten 3, 4 und 5 wenden ein, dass es sich bei Art. 31 Abs. 4 GBV lediglich um eine "Kannvorschrift" handle, welche keinen Anspruch auf eine Er- wähnung beinhalt Zudem sei das Willensvollstreckermandat des Klägers aufgrund der bereits erfolgten Teilung beendet; der Kläger habe deshalb auch aus diesem</w:t>
      </w:r>
    </w:p>
    <w:p>
      <w:r>
        <w:t>Grunde keinen Anspruch mehr auf Kennzeichnung seiner Funktion als Willens- vollstrecker im Grundbuch (act. 57 S. 12). d) Wie schon unter lit. B Ziff. 6 d) ausgeführt, ist der Kläger nicht legitimiert zur Grundbuchberichtigungsklag Zudem beinhaltet Art. 31 Abs. 4 GVO keinen durchsetzbaren Anspruch auf Eintragung des Willensvollstreckers unter der Rubrik "Eigentum". In der Lehre ist die Frage umstritten, ob und wie das Besitzes- und Verwal- tungsrecht des Willensvollstreckers im Grundbuch erkennbar gemacht werden kann. Eine Eintragung oder Vormerkung des Willensvollstreckers kommt nicht in Frage, weil sie in Art. 958/959 ZGB nicht vorgesehen ist. Art. 959 ZGB enthält einen abschliessenden Katalog der zulässigen Vormerkungen persönlicher Rech- te und Art. 960 ZGB kann nur zur Sicherstellung dieser Rechte angerufen werden. Es wurde vorgeschlagen, bei der Eigentumseintragung der Erben nach deren Namen in Klammern den Willensvollstrecker im Grundbuch "mitaufzuführen". Dies mag zweckmässig sein, verstösst aber wohl gegen Art. 958 Ziff. 1 ZGB. Danach ist das Eigentum im Grundbuch einzutragen, im vorliegenden Fall also die Erben (Karrer, N. 26 zu Art. 518 ZGB, a.a.O.). Dieses Begehren ist somit mangels Aktivlegitimation und durchsetzbarem Anspruch abzuweisen. D. Errichten einer Sicherungshypothek oder Stellen einer Bankgarantie</w:t>
      </w:r>
    </w:p>
    <w:p>
      <w:r>
        <w:rPr>
          <w:b/>
        </w:rPr>
        <w:t>E. 9</w:t>
      </w:r>
    </w:p>
    <w:p>
      <w:r>
        <w:t>a) Der Kläger stellt schliesslich in Ziffer 3 das Begehren, eventualiter seien die Beklagten zu verpflichten, zugunsten des Klägers eine Sicherungshypo- thek im Umfang von Fr. 300'000.-- auf einer der in der Gemeinde Oberrieden ge- legenen Liegenschaften Kat.Nrn … zu errichten oder zugunsten des Klägers eine unbefristete, auf erstes Verlangen zahlbare Bankgarantie im Umfang von Fr. 300'000.-- bei einer im Bezirk Horgen domizilierten Bank zu stellen. b) Der Kläger macht bei der Begründung dieses Begehren geltend, dass das Obergericht darauf hinweise, dass dem Willensvollstrecker zur Sicherung</w:t>
      </w:r>
    </w:p>
    <w:p>
      <w:r>
        <w:t>seiner Forderung ein Retentionsrecht gemäss Art. 895 ZGB auf dem Nachlass- vermögen zustehe (act. 2 S. 9). Zumindest die seiner Ansicht nach ausgewiese- nen und allseits anerkannten Sicherungsansprüche betreffend seiner Honorarfor- derung in Höhe von Fr. 300'000.-- seien gutzuheissen (act. 2 S. 33). c) Die Beklagten 1, 2, 6 und 7 machen demgegenüber geltend, dass es kein Retentionsrecht an Liegenschaften gebe und es deshalb an der gesetzlichen Grundlage fehle (act. 56 S. 9). Die Beklagten 3, 4 und 5 bestreiten den Anspruch auf eine Sicherungshy- pothek oder eine Sicherstellung. Sie machen geltend, dass dem Willensvollstre- cker nur gerade ein Retentionsrecht im Sinne von Art. 895 ZGB an beweglichen Nachlassgegenständen zustehe. Einen weitergehenden Anspruch auf Sicherstel- lung habe der Kläger als Willensvollstrecker nicht. Der Kläger nenne auch keine Rechtsgrundlage, auf welche er seinen Anspruch stützen wolle. Auch für die Aus- stellung einer Bankgarantie verfüge der Kläger über keinerlei Rechtsgrundlag Zu- dem habe er die Höhe der von ihm geltend gemachten Sicherheit nicht näher spezifiziert, weshalb das entsprechende Begehren auch mangels Substanzierung bezüglich Höhe der Sicherheit abzuweisen sei (act. 57 S. 13). d) Gemäss Art. 895 ZGB kann ein Retentionsrecht an beweglichen Sachen und Wertpapieren geltend gemacht werden. Ausgeschlossen ist die Retention an unbeweglichen Sachen, d.h. an Grundstücken i.S.v. Art. 655 Abs. 2 ZGB; der Gläubiger bleibt auf das Zurückbehaltungsrecht nach Art. 82 OR oder das obliga- torische Retentionsrecht verwiesen (Rampini/Schulin/Vogt, N. 19 zu Art. 895 ZGB, a.a.O.). Ein Zurückbehaltungsrecht nach Art. 82 OR, d.h. die Einrede des nicht o- der nicht gehörig erfüllten Vertrages besteht nur bei synallagmatischen Verträgen und gibt dem Schuldner einzig das obligatorische Recht, eine eigene Leistung beliebiger Natur mittels einer dilatorischen Einrede zurückzuhalten (Rampi- ni/Schulin/ Vogt, N. 10 zu Art. 895 ZGB, a.a.O.). Die Anwendung des Zurückbe- haltungsrechts nach Art. 82 OR ist in casu nicht möglich, da zwischen dem Kläger und den Beklagten kein synallagmatischer Vertrag besteht und es dem Kläger</w:t>
      </w:r>
    </w:p>
    <w:p>
      <w:r>
        <w:t>auch nicht darum geht, eine eigene Leistung zurückzubehalten. Das obligatori- sche Retentionsrecht, welches auf unvollkommen zweiseitige Verträge und auf nicht in einem Austauschverhältnis stehende Leistungen Anwendung findet, kann in diesem Begehren des Klägers ebenfalls nicht angewendet werden, da es ledig- lich dem Schuldner das Recht gibt, die eigene Leistung bis zur Erbringung der Gegenleistung durch den Vertragspartner zurückzubehalten (Rampi- ni/Schulin/Vogt, N. 11 zu Art. 895 ZGB, a.a.O.) und der Kläger die Sicherstellung einer Forderung für bereits erbrachte Leistung fordert. Es besteht somit keine gesetzliche Grundlage für die vom Kläger beantrag- te Sicherstellung, Sicherungshypothek oder Bankgarantie. Dieses Begehren ist somit mangels gesetzlicher Grundlage abzuweisen.</w:t>
      </w:r>
    </w:p>
    <w:p>
      <w:r>
        <w:rPr>
          <w:b/>
        </w:rPr>
        <w:t>E. 10</w:t>
      </w:r>
    </w:p>
    <w:p>
      <w:r>
        <w:t>Zusammenfassend ist festzuhalten, dass sämtliche Begehren des Klä- gers abzuweisen sind. Bezirksgericht Horgen, III. Abteilung Urteil vom 6. Dezember 2001 Geschäfts-Nr. CG980029 Der Willensvollstrecker liess die Abweisung der Klage unangefochten, inso- weit sie sich gegen den von den Erben selber erwirkten Vollzug ihres Tei- lungsvertrages gerichtet hatte. Hingegen bestand er darauf, dass sie sein Honorar sicherstellen sollten. Das Obergericht wies auch dieses Begehren ab. (aus dem Entscheid des Obergerichts:) 3. Das Bezirksgericht hat im angefochtenen Urteil erwogen, der Kläger vermöge sich auf keine gesetzliche Grundlage zu berufen, welche ihm Anspruch auf Sicherstellung seines Honorars geben könnte, und es weist daher die Klage auch diesbezüglich ab (act. 71 S. 20 - 22). Diese Überlegungen ficht der Kläger in der Berufung nicht an, und sie sind auch überzeugend (§ 161 GVG). Hingegen beanstandet der Kläger, dass das Bezirksgericht nicht erörterte, ob ihm die Be-</w:t>
      </w:r>
    </w:p>
    <w:p>
      <w:r>
        <w:t>klagten die verlangte Garantie rechtsgeschäftlich zugesichert haben; darum dreht sich nun das Berufungsverfahren in der Sache. a) Die Beklagten 3 - 5 wenden vorweg ein, der Kläger trage ein unzu- lässiges Novum vor; in der seinerzeitigen Klagebegründung habe er sich nur auf ein Retentionsrecht berufen, nicht aber auf einen vertraglichen Anspruch auf Stel- lung einer Garantie (act. 88 S. 4). - Ein neues Begehren wäre in der Berufung ausgeschlossen (argumentum e contrario aus § 200 Abs. 1 ZPO). Darum geht es aber nicht: Der Kläger verlangt wie schon vor erster Instanz eine "auf erstes Ver- langen zahlbare Bankgarantie im Umfang von Fr. 300'000.-- bei einer im Bezirk Horgen domizilierten Bank...". Fraglich sein kann einzig die Begründung. Hier kann ihm allerdings nicht schaden, wenn er nur knappe oder unzutreffende recht- liche Ausführungen machte, denn das Gericht hat das Recht von Amtes wegen anzuwenden (§ 57 ZPO). Es kommt einzig darauf an, ob er Tatsachen behaupte- te, welche den im Rechtsbegehren genannten Anspruch stützen. In der Berufung nennt er diesbezüglich keine neuen Umstände und er legt keine neuen Urkunden ins Recht. Es geht also nicht um die Frage zulässiger oder unzulässiger Noven, sondern einzig darum, ob das schon in erster Instanz in den Prozess eingeführte Material zur Bejahung eines rechtsgeschäftlichen Anspruches hätte führen müs- sen. Wie weit dabei auch eingelegte Urkunden zu würdigen sind, wenn auf sie in den Rechtschriften nicht Bezug genommen wird, kann dabei offen bleiben; der Kläger hat seine Beilagen in der Klageschrift zum grössten Teil wörtlich abge- schrieben, was zwar die Lesbarkeit der Rechtschrift beeinträchtigt, den Inhalt die- ser Beilagen aber auf jeden Fall zu seinen eigenen Behauptungen macht. b) Umgekehrt greift aber auch das Argument des Klägers zu kurz, die Beklagten hätten sein Sicherstellungsbegehren in erster Instanz prozessual an- erkannt (act. 79 S. 6). Vorweg wäre dann sein Rechtsbegehren in der Berufung falsch, denn es gäbe nichts mehr materiell zu entscheiden, und das Verfahren wäre als durch Anerkennung erledigt abzuschreiben (allenfalls ergänzt um Anord- nungen zur Vollstreckung im Sinne von § 304 Abs. 1 ZPO, welche der Kläger al- lerdings gar nicht verlangt, was wiederum ihre Anordnung nach § 54 Abs. 2 ZPO ausschlösse). Zu unterscheiden ist aber ohnehin zwischen der Anerkennung ei- nes Anspruchs und der Anerkennung der tatsächlichen Behauptungen der Ge- genpartei. Die Beklagten haben unmissverständlich Abweisung der Klage bean- tragt, was ohne weiteres alle Rechtsbegehren umfasst (act. 16 S. 2 und act. 57 S. 3). Das Bezirksgericht hat den Verzicht der Beklagten 3 - 5 auf eine (eigene) Kla-</w:t>
      </w:r>
    </w:p>
    <w:p>
      <w:r>
        <w:t>geantwort auch zutreffend nicht als Säumnis im Sinne von § 130 ZPO gewertet und ihnen entsprechend keine zweite peremptorische Frist angesetzt. Die Erklä- rung der Beklagten 3 - 5 (act. 30) erfolgte in Kenntnis des Umstandes, dass die anderen Beklagten die Klage beantwortet hatten (dazu act. 20); und diese Kla- geantwort wirkte für alle Beklagten (§ 39 Abs. 2 ZPO). Wie weit die tatsächlichen Behauptungen des Klägers bestritten sind und ob sie seinen Anspruch zu stützen vermögen, ist im folgenden zu prüfen. c) Der Kläger leitet seinen Anspruch auf die Stellung der Bankgarantie daraus ab, dass das "allseits anerkannt" worden sei (act. 2 S. 33), respektive dass die Beklagten dazu "ausdrücklich ihre Bereitschaft erklärten" (act. 44 S. 25). Die letztere Behauptung schwächt er selbst zwar gleich wieder ab mit dem Nach- satz, dass die Beklagten damals widersprüchlich erklärten, sie hielten "die Leis- tung einer Sicherheit für nicht angebracht" (act. 44 S. 25). Darum geht es (noch) nicht. Hier genügt es festzustellen, dass der Kläger sich mindestens sinngemäss darauf beruft, die verlangte Sicherstellung sei ihm im Sinne einer vertraglichen Verpflichtung zugesagt worden. Die entsprechenden Willenserklärungen behaup- tet der Kläger im wesentlichen nur indirekt: Er zitiert zahlreiche Briefe, welche sich mit der Frage einer Sicherstellung des Willensvollstrecker-Honorars befassen (act. 2 S. 17 ff. und act. 44 S. 25). Weitere Ausführungen zum Willen der Beteilig- ten machte er vor Bezirksgericht nicht, und in der Berufung wären sie wegen der Noven-Beschränkung nicht mehr zulässig (§ 267 ZPO). Damit geht es nicht um das Ermitteln eines tatsächlichen inneren Willens der Parteien, welcher nach Art. 18 OR in erster Linie den Inhalt einer Verpflichtung bestimmte. Es sind vielmehr die erwähnten schriftlichen Äusserungen zunächst in ihrem Wortlaut zu erfassen und dann erforderlichenfalls nach dem Vertrauensprinzip auszulegen. Dabei sind der Inhalt der Briefe und ihre Authentizität unbestritten. Das Verhältnis der Erben zum Willensvollstrecker war nach dessen eige- ner Darstellung vom 19. Januar 1996 an getrübt, als ihn die Erben aufforderten, seine Bemühungen abzuschliessen, für seine Arbeit Rechnung zu stellen und die Liegenschaften auf die Erben als einfache Gesellschaft zu übertragen (act. 2 S. 6, act. 5/3). Dem widersetzte sich der Kläger (act. 2 S. 6 ff.). Nachdem die Erben die Übertragung der Liegenschaften selbst bewerkstelligt hatten, drohte ihnen der Kläger mit "weiteren Schritten nach Gutdünken" (act. 2 S. 17, act. 5/20).</w:t>
      </w:r>
    </w:p>
    <w:p>
      <w:r>
        <w:t>Am 3. Dezember 1997 sprach der Kläger erstmals die Sicherstellung sei- nes Honorars an: Die Übertragung der Liegenschaften habe ihn seiner Möglich- keit beraubt, sein Honorar zu sichern, und er verlange, dass vor einer weiteren Mutation im Grundbuch sein Honorar sichergestellt werde (act. 2 S. 19, act. 5/25). Der Vertreter der Erben ging darauf ein und schrieb dem Kläger, er werde "mei- nen Klienten beantragen, eine entsprechende Sicherstellung z. B. mittels Bankga- rantie im Umfang von rund Fr. 300'000.-- zu erwirken"; er werde den Kläger "nach Möglichkeit noch vor dem 19.12.1997 mit der entsprechenden Garantie bedienen" (act. 2 S. 19, act. 5/26). Damit war noch keine Verpflichtung der Erben begründet; der Anwalt hatte nur in Aussicht gestellt, sich für die Stellung einer Sicherheit zu verwenden. Dabei war zudem auch noch offen, in welcher Form die Sicherheit geleistet werden sollte. Am 19. Dezember 1997 schrieb der Vertreter der Erben, die Leistung der Sicherheit habe sich verzögert, sie werde aber "von keinem Erben bestritten"; er versichere dem Kläger, dass "wir Ihnen dieses Papier spätestens in der ersten Januarhälfte 1998 zustellen werden" (act. 5/28). Dem Brief lag ein Schreiben ei- nes Erben bei, wonach Probleme mit der Bank die Ausstellung einer Garantie verzögert hätten (act. 5/29). Aus diesen Erklärungen durfte der Kläger entneh- men, die Erben wollten sich ihm gegenüber zur Leistung einer Bankgarantie für sein Honorar verpflichten. Die Verpflichtung, eine Garantie zu stellen, ist im Ge- setz nicht ausdrücklich geregelt, sie fällt unter die allgemeine Vertragsfreiheit von Art. 19 OR. Die gegenseitige Willensäusserung (welche nach Art. 1 Abs. 2 und Art. 6 OR auch stillschweigend erfolgen kann) muss aber jedenfalls die wesentli- chen Punkte umfassen (Art. 2 Abs. 1 OR). - Bei der Verpflichtung zum Stellen einer Bankgarantie ist der zu sichernde Anspruch ein unabdingbares Element. Er ergab sich hier aus dem ersten Angebot der Erben in Verbindung mit der Forderung des Klägers: Die Garantie sollte das Willensvollstrecker-Honorar des Klägers sichern und (nur) in Anspruch genom- men werden können, wenn die Höhe des Honorars durch Vergleich oder Urteil festgestellt würde (act. 5/26). Der Klageantrag des Klägers im vorliegenden Pro- zess übergeht diese wesentliche Einschränkung ("eine .. auf erstes Verlangen zahlbare Bankgarantie"); das müsste allerdings prozessual nicht unbedingt als etwas "anderes" (§ 54 Abs. 2 ZPO) betrachtet werden, sondern es könnte auch ein "Mehr" im Sinne der zitierten Bestimmung darstellen, sodass die unsorgfältige Formulierung des Rechtsbegehrens für sich allein nicht zur (vollständigen) Abwei- sung der Klage führen müsste.</w:t>
      </w:r>
    </w:p>
    <w:p>
      <w:r>
        <w:t>- Die Bezeichnung der Bank war offen. Es dürfte sich hier um einen Ne- benpunkt handeln, welcher im Sinne von Art. 2 Abs. 2 OR ergänzt werden könnte. Warum es sich nur um eine im Bezirk Horgen niedergelassene Bank handeln soll- te, wie der Kläger verlangt, ist nicht unbedingt einzusehen; als eine Bank "mittle- rer Qualität" (analog nach Art. 71 Abs. 2 OR) dürfte jede von der Eidgenössischen Bankenkommission approbierte Bank gelten, welche im Kanton Zürich in An- spruch genommen werden könnte. - Das von den Beklagten aufgeworfene Problem der zeitlichen Begrenzung war nicht Thema der Korrespondenz der Parteien und wäre durch richterliche Ver- tragsergänzung (Art. 2 Abs. 2 OR) lösbar. - Ein wesentliches und in keinem Fall vom Richter zu ergänzendes Element stellt aber die Höhe der Garantie dar. Auf welchen Betrag sie lauten solle, ging aus den Schreiben des Anwaltes der Erben resp. des Erben E. nicht hervor (act. 5/26 und 5/27). Als der Anwalt dem Kläger eine Sicherheit in Aussicht stellte, sprach er von "rund Fr. 300'000.--" (act. 5/26, Hervorhebung beigefügt). Die Höhe des Honorars des Klägers war streitig (act. 5/13, act. 5/31, act. 16 S. 13), und ob- jektive Anhaltspunkte dafür, welchen genauen Betrag die Garantie sichern sollte, gab es nicht. Damit fehlte es an einem bestimmten oder (in Analogie zu Art. 184 Abs. 3 OR) bestimmbaren Inhalt der Verpflichtung der Erben, und weder die ein- fache Annahmeerklärung des Klägers noch sein Schweigen konnten das Zustan- dekommen eines Vertrages bewirken. In einem Brief vom 13. Januar 1998 monierte der Kläger, dass die Erben verschiedene "dringend anstehende Pendenzen" nicht erledigten; Genaueres und Präziseres zur diskutierten Sicherheit ergibt sich aus dem Schreiben allerdings nicht (act. 5/30). Am 2. Februar 1998 schrieb der Anwalt der Erben dem Kläger, er habe seinen Klienten "ein weiteres Mal geraten (...), diese Sicherheit in irgend einer Form zu leisten" (act. 5/31): Das ist wiederum keine als bindend zu verste- hende Verpflichtung. In der Folge haben sich die Erben offenbar dennoch darum bemüht, zugunsten des Klägers eine grundpfändliche Sicherheit zu stellen (act. 2 S. 22 ff., act. 5/32 ff.). Die Errichtung eines solchen Pfandes kam allerdings nicht zustande, und der Korrespondenz der Beteiligten ist keine Verpflichtung der Er- ben zu entnehmen, welche dem Kläger einen durchsetzbaren Anspruch auf Stel- lung einer solchen Grundpfandsicherheit gäbe - abgesehen davon, dass er das auch nicht (mehr) einklagt. d) Damit ist die Klage abzuweisen.</w:t>
      </w:r>
    </w:p>
    <w:p>
      <w:r>
        <w:t>Obergericht, II. Zivilkammer Urteil vom 6. November 2001 Geschäfts-Nr. LB010016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