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LA250032 vom 16. Januar 2026</w:t>
      </w:r>
    </w:p>
    <w:p>
      <w:r>
        <w:t>ZH Obergericht, 2026-01-16, DE</w:t>
      </w:r>
    </w:p>
    <w:p>
      <w:r>
        <w:rPr>
          <w:b/>
        </w:rPr>
        <w:t xml:space="preserve">Quelle: </w:t>
      </w:r>
      <w:r>
        <w:t>https://mcp.opencaselaw.ch/entscheid/zh_obergericht_LA250032</w:t>
      </w:r>
    </w:p>
    <w:p>
      <w:r>
        <w:t>FR: ZH_OBERGERICHT LA250032 du 16 janvier 2026</w:t>
      </w:r>
    </w:p>
    <w:p>
      <w:r>
        <w:t>IT: ZH_OBERGERICHT LA250032 del 16 gennaio 2026</w:t>
      </w:r>
    </w:p>
    <w:p>
      <w:pPr>
        <w:pStyle w:val="Heading2"/>
      </w:pPr>
      <w:r>
        <w:t>Erwägungen</w:t>
      </w:r>
    </w:p>
    <w:p>
      <w:r>
        <w:rPr>
          <w:b/>
        </w:rPr>
        <w:t>E. 1</w:t>
      </w:r>
    </w:p>
    <w:p>
      <w:r>
        <w:t>Mit Eingabe vom 10. September 2025 reichte die Klägerin und Berufungsklä- gerin (fortan Klägerin) unter Beilage der Klagebewilligung des Friedensrichteramts der Stadt Zürich, Kreise … und …, vom 17. Juni 2025 (Urk. 2) sowie weiterer Un- terlagen (Urk. 3 und 4/1-46) bei der Vorinstanz eine begründete Klage mit eingangs genanntem Rechtsbegehren ein (Urk. 1). Mit Verfügung vom 7. Oktober 2025 trat die Vorinstanz ohne Weiterungen auf die Klage nicht ein, erhob keine Kosten und sprach keine Parteientschädigung zu (Urk. 8). Die Klägerin äusserte sich in ihrer Eingabe vom 14. November 2025 (Poststempel: 14. November 2025, eingegangen</w:t>
      </w:r>
    </w:p>
    <w:p>
      <w:r>
        <w:t>- 3 - am 18. November 2025, siehe Eingangsstempel der Vorinstanz auf Urk. 7) gegen- über der Vorinstanz dahingehend, dass die Verfügung vom 7. Oktober 2025 aufzu- heben und die Vorinstanz zu verpflichten sei, auf die Klage vom 10. September 2025 einzutreten (Urk. 7). Die Vorinstanz leitete die Eingabe samt Beilagen an die erkennende Kammer weiter (Urk. 7).</w:t>
      </w:r>
    </w:p>
    <w:p>
      <w:r>
        <w:rPr>
          <w:b/>
        </w:rPr>
        <w:t>E. 2</w:t>
      </w:r>
    </w:p>
    <w:p>
      <w:r>
        <w:t>Die vorinstanzlichen Akten wurden beigezogen (Urk. 1-6).</w:t>
      </w:r>
    </w:p>
    <w:p>
      <w:r>
        <w:rPr>
          <w:b/>
        </w:rPr>
        <w:t>E. 2.1</w:t>
      </w:r>
    </w:p>
    <w:p>
      <w:r>
        <w:t>Die Nichtigkeit eines Entscheides ist jederzeit und von sämtlichen rechtsan- wendenden Behörden von Amtes wegen zu beachten (BGE 122 I 97 E. 3a; BGE 115 Ia 1 E. 3 m.w.H.). Sie kann auch im Rechtsmittel- und selbst noch im Vollstreckungsverfahren geltend gemacht werden (vgl. BGE 127 II 32 E. 3g m.w.H.; Hangartner, Die Anfechtung nichtiger Verfügungen und von Scheinverfügungen, AJP 2003, S. 1054). Die Prüfung der Nichtigkeit setzt im Rechtsmittelverfahren je- doch die Zulässigkeit des angerufenen Rechtsmittels voraus; andernfalls bleibt die Nichtigkeitsrüge grundsätzlich unbeachtet. Nach bundesgerichtlicher Rechtsprechung sind fehlerhafte Entscheide nich- tig, wenn der ihnen anhaftende Mangel besonders schwer ist, wenn er offensichtlich oder zumindest leicht erkennbar ist und wenn zudem die Rechtssicherheit durch die Annahme der Nichtigkeit nicht ernsthaft gefährdet wird (vgl. BGE 117 Ia 202 E. 8 a) m.w.H.; BGE 122 I 97 E. 3a/aa). Inhaltliche Mängel einer Entscheidung füh-</w:t>
      </w:r>
    </w:p>
    <w:p>
      <w:r>
        <w:t>- 10 - ren nur ausnahmsweise zur Nichtigkeit. Als Nichtigkeitsgründe fallen vorab funkti- onelle und sachliche Unzuständigkeit der entscheidenden Behörde sowie krasse Verfahrensfehler in Betracht (vgl. zit. Urteile). Verfahrensmängel, die in Gehörsver- letzungen liegen, sind an sich heilbar und führen in der Regel nur zur Anfechtbarkeit des fehlerhaften Entscheids (Imboden, Der nichtige Staatsakt, Zürich 1944, S. 131, Rhinow/Krähenmann, Schweizerische Verwaltungsrechtsprechung, Ergänzungs- band, Nr. 40 B/V2b und Nr. 81 B/VII). Wie eingangs erwähnt, kann die Nichtigkeit auch erst im Rechtsmittel- oder Vollstreckungsverfahren geltend gemacht werden, wobei ein Zuwarten der sich darauf berufenden Partei nicht per se als rechtsmissbräuchlich zu betrachten ist. Dritte, die in guten Treuen auf einen langen unangefochten geblieben Zustand ver- trauten, sind jedoch zu schützen (vgl. BGE 78 III 33 E. 9 S. 43 ff.; BGE 83 I 1 E. 3).</w:t>
      </w:r>
    </w:p>
    <w:p>
      <w:r>
        <w:rPr>
          <w:b/>
        </w:rPr>
        <w:t>E. 2.2</w:t>
      </w:r>
    </w:p>
    <w:p>
      <w:r>
        <w:t>Zur von der Klägerin geltend gemachten Nichtigkeit der Verfügung des Frie- densrichteramts der Stadt Zürich, Kreise … und …, vom 19. März 2013 sowie des Urteils des Arbeitsgerichts Genf vom 13. August 2020 ist hervorzuheben, dass sich ihre Ausführungen im Wesentlichen auf eine blosse Aufzählung mutmasslicher Fehler beschränken. Es fehlt jedoch an jeder Begründung dafür, inwiefern diese angeblichen Mängel eine derart hohe Intensität erreichen sollen, dass sie zur Nich- tigkeit der betreffenden Entscheide führen würden. Im Übrigen ist eine solche Schwere der geltend gemachten Mängel auch nicht ersichtlich. Dies gilt insbeson- dere für die Rüge, das Arbeitsgericht Genf habe sie nicht verpflichtet, zusätzliche Ausfertigungen sowie eine professionelle Übersetzung ihrer Eingabe und/oder Bei- lagen einzureichen. Ebenso vermag die Rüge der Klägerin, das Urteil des Arbeits- gerichts Genf sei nichtig, weil eine antizipierte Beweiswürdigung vorgenommen und der Sachverhalt unvollständig und/oder unrichtig festgestellt worden sei, keine Nichtigkeit des Entscheids zu begründen. Solche Vorbringen hätten vielmehr mit dem ordentlichen Rechtsmittel geltend gemacht werden müssen. Soweit die Klä- gerin hingegen vorbringt, das Arbeitsgericht Genf habe die falsche Verfahrensart angewendet, ist hervorzuheben, dass dies zwar einen schweren Verfahrensfehler darstellen könnte, der grundsätzlich zur Nichtigkeit eines Entscheids führen kann. Vorliegend bestehen jedoch keinerlei Anhaltspunkte dafür, dass das Arbeitsgericht</w:t>
      </w:r>
    </w:p>
    <w:p>
      <w:r>
        <w:t>- 11 - Genf die falsche Verfahrensart angewendet hat. Allein aus dem Umstand, dass eine Frist von 30 Tagen anstelle von 20 Tagen angesetzt und diese mehrfach er- streckt wurde, lässt sich nicht auf einen krassen Verfahrensfehler und die damit verbundene Nichtigkeit des Endentscheids schliessen. Hinsichtlich der geltend gemachten Nichtigkeit des Vergleichs vom 19. März 2013 ist vollumfänglich auf die obigen Ausführungen zu verweisen. Die Klägerin bringt keinerlei Sachumstände vor, anhand derer auf Nichtigkeit geschlossen wer- den könnte. Hinzu kommt, dass die Klägerin nicht begründet, weshalb dem Ver- trauen der Beklagten sowie Dritter auf die Gültigkeit des Vergleichs kein Schutz zukommen soll und weshalb ihr Interesse an der Feststellung der Nichtigkeit höher zu gewichten wäre, obwohl sie trotz Kenntnis der mutmasslichen Mängel diese we- der mit ordentlichen noch mit ausserordentlichen Rechtsmitteln geltend gemacht hatte.</w:t>
      </w:r>
    </w:p>
    <w:p>
      <w:r>
        <w:rPr>
          <w:b/>
        </w:rPr>
        <w:t>E. 2.3</w:t>
      </w:r>
    </w:p>
    <w:p>
      <w:r>
        <w:t>Entsprechend kann der Rüge der Nichtigkeit nicht gefolgt werden. 3. Mangelndes Rechtsschutzinteresse</w:t>
      </w:r>
    </w:p>
    <w:p>
      <w:r>
        <w:rPr>
          <w:b/>
        </w:rPr>
        <w:t>E. 2.4</w:t>
      </w:r>
    </w:p>
    <w:p>
      <w:r>
        <w:t>Die Klägerin beanstandet weiter, dass die Vorinstanz den Sachverhalt – trotz sozialer Untersuchungsmaxime – nicht von Amtes wegen festgestellt habe, um u.a. zu wissen, ob E._____ bei der Verfassung des Arbeitszeugnisses vom 13. Dezem- ber 2011 beteiligt gewesen sei (Urk.7 S. 8 Rn 3). Die Vorinstanz stelle ebenfalls</w:t>
      </w:r>
    </w:p>
    <w:p>
      <w:r>
        <w:t>- 9 - fälschlicherweise fest, dass im Urteil vom 13. August 2025 die Passivlegitimation verneint worden sei, diese hingegen auf Seite 7 des genannten Urteils bejaht wor- den sei (Urk. 7 S. 4 Rn 5).</w:t>
      </w:r>
    </w:p>
    <w:p>
      <w:r>
        <w:rPr>
          <w:b/>
        </w:rPr>
        <w:t>E. 2.5</w:t>
      </w:r>
    </w:p>
    <w:p>
      <w:r>
        <w:t>Die Klägerin macht ausserdem geltend, dass die Verfügung der Vorinstanz vom 7. Oktober 2025 ungültig sei, insbesondere da die ausgestellte Klagebewilli- gung vom 17. Juni 2025 des Friedensrichteramts der Stadt Zürich Kreise … und … ungültig abgefasst worden sei (Urk. 1 S. 1 Rn 2 f.). IV. 1. Vorbemerkungen Aufgrund der Vorbringen der Klägerin ist zunächst als Vorfrage zu prüfen, ob der Vergleich vom 19. März 2013 resp. die gleich datierte Abschreibungsverfügung des Friedensrichteramts der Stadt Zürich, Kreise … und …, sowie das Urteil des Ar- beitsgerichts Genf vom 13. August 2020 nichtig sind. In einem weiteren Schritt ist die Frage des Rechtsschutzinteresses zu behandeln und – sofern ein solches be- jaht wird – abzuklären, ob die Sache bereits abgeurteilt ist. 2. Nichtigkeit</w:t>
      </w:r>
    </w:p>
    <w:p>
      <w:r>
        <w:rPr>
          <w:b/>
        </w:rPr>
        <w:t>E. 3</w:t>
      </w:r>
    </w:p>
    <w:p>
      <w:r>
        <w:t>Die Berufungsschrift der Klägerin enthält zwar viel Nebensächliches und Überflüssiges sowie über weite Strecken Wiederholungen – sofern es sich nicht gar um neue Tatsachenbehauptungen handelt (vgl. Art. 317 Abs. 1 ZPO) – des bereits im erstinstanzlichen Verfahren Vorgebrachten, sie setzt sich jedoch auch mit den Erwägungen in der angefochtenen Verfügung auseinander. Damit kommt sie ihrer Rüge- und Begründungspflicht nach, sodass auf die Berufung eingetreten werden kann.</w:t>
      </w:r>
    </w:p>
    <w:p>
      <w:r>
        <w:rPr>
          <w:b/>
        </w:rPr>
        <w:t>E. 3.1</w:t>
      </w:r>
    </w:p>
    <w:p>
      <w:r>
        <w:t>Wie von der Vorinstanz zutreffend ausgeführt (Urk. 8 S. 4 E. 5.1.), tritt das Gericht gemäss Art. 59 Abs. 1 ZPO auf eine Klage oder ein Gesuch ein, sofern die Prozessvoraussetzungen erfüllt sind. Eine Prozessvoraussetzung ist, dass die kla- gende Partei ein schutzwürdiges Interesse (sog. Rechtsschutzinteresse) hat (Art. 59 Abs. 2 lit. a ZPO). Auf eine Klage ist mit anderen Worten nur dann einzu- treten, wenn ein hinreichendes persönliches, aktuelles und praktisches Interesse der klagenden Partei an der gerichtlichen Beurteilung vorliegt. Demgegenüber fehlt das Rechtsschutzinteresse, wenn das Urteil der klagenden Partei auch im Falle des Obsiegens keinen Nutzen bringt. Ein solcher Nutzen fehlt, wenn der streitige An- spruch bereits befriedet ist oder überhaupt nicht befriedet werden kann (BGer 4A_127/2019 vom 7. Juni 2019 E. 4 m.w.H.).</w:t>
      </w:r>
    </w:p>
    <w:p>
      <w:r>
        <w:rPr>
          <w:b/>
        </w:rPr>
        <w:t>E. 3.2</w:t>
      </w:r>
    </w:p>
    <w:p>
      <w:r>
        <w:t>3.2.1Im vorliegenden Fall verlangt die Klägerin, die Beklagte sei zu verpflichten, ihr mitzuteilen, welcher Mitarbeiter der Beklagten den Inhalt des Arbeitszeugnisses vom 13. Dezember 2011 verfasst und an die C._____ AG weitergeleitet habe. Zur</w:t>
      </w:r>
    </w:p>
    <w:p>
      <w:r>
        <w:t>- 12 - Ermittlung des Zwecks dieses Rechtsbegehrens ist insbesondere auf die Schluss- ausführungen der Klägerin in ihrer Klageschrift abzustellen, die wie folgt lauten (Urk. 1 S. 11 Rn 6 f.): "Über die Beendigung des Arbeitsverhältnisses hinaus hat der Arbeit- nehmer Anspruch auf ein Arbeitszeugnis und auf die Förderung seines wirtschaftlichen Fortkommens durch die Arbeitgeberin, was vorliegend mit dem Arbeitszeugnis vom 13. Dezember 2011 verhindert wurde, wohl absichtlich. Wie erwähnt, fand die Klägerin nur aufgrund des Arbeits- zeugnisses, welches am 19. März 2013 ausgestellt wurde, eine gleich- bezahlte Arbeitsstelle, weswegen auch deshalb mit dem Arbeitszeugnis vom 13. Dezember 2011 die Fürsorgepflicht der Arbeitgeberin (Art. 238 OR) verletzt wurde. Der Arbeitnehmer hat Anspruch auf ein Zeugnis, das den gesetzlichen Erfordernissen entspricht. Er kann ein solches Zeugnis während und nach dem Arbeitsverhältnis verlangen. Damit ersuche ich, die vorlie- gende Klage gutzuheissen." Aus diesen Ausführungen ergibt sich eindeutig, dass die Klägerin als Endziel ent- weder die Aushändigung eines neuen Arbeitszeugnisses oder die Geltendmachung einer Schadenersatzforderung im Zusammenhang mit dem Arbeitszeugnis vom 13. Dezember 2011 beabsichtigt. Beides ist jedoch ausgeschlossen. 3.2.2Die Klägerin erhielt im März 2013, gestützt auf den vor dem Friedensrichter geschlossenen Vergleich, ein neues Arbeitszeugnis. Sowohl aus dem Titel des Do- kuments („Arbeitszeugnis“ statt „Zwischenzeugnis“; Urk. 4/21) als auch aus dem Text ergibt sich, dass es sich um ein Endzeugnis handelt (vgl. "Das von Beginn an befristete Arbeitsverhältnis mit Frau A._____ ist am 31. August 2011 ordentlich be- endet worden"; Urk. 4/21). Der geschlossene Vergleich hat zudem die Wirkung ei- nes rechtskräftigen Entscheids (Art. 241 Abs. 2 ZPO). Entsprechend ist – entgegen den Behauptungen der Klägerin – die Streitigkeit über die Aushändigung des Ar- beitszeugnisses endgültig abgeschlossen, und der Anspruch der Klägerin auf ein wohlwollendes Arbeitszeugnis bereits befriedet, und zwar unabhängig von einer allfälligen Saldoklausel. Selbst wenn zugunsten der Klägerin jedoch angenommen</w:t>
      </w:r>
    </w:p>
    <w:p>
      <w:r>
        <w:t>- 13 - werden würde, dass die Streitigkeit über die Aushändigung des Arbeitszeugnisses nicht abgeschlossen ist, ist nicht ersichtlich und wurde von ihr auch nicht dargelegt, welchen Nutzen die Kenntnis des Verfassers des ursprünglichen Arbeitszeugnis- ses für ihren allfälligen Anspruch auf ein neues Zeugnis hätte. 3.2.3Was eine allfällige Schadenersatzforderung betrifft, ist auf das Urteil des Ar- beitsgerichts Genf vom 19. August 2020 zu verweisen. Streitgegenstand war ein behaupteter Erwerbsausfall der Klägerin zwischen September 2011 und Mai 2012 aufgrund der verspäteten Ausstellung eines wohlwollenden Arbeitszeugnisses. Mit dem entsprechenden Urteil wurde die Klage der Klägerin – sowohl gegen die Be- klagte als auch gegen die C._____ AG – abgewiesen (Urk. 4/13). Zwar liegen keine Unterlagen vor, die die Rechtskraft dieses Urteils ausdrücklich belegen, doch macht die Klägerin weder geltend, dass der Entscheid von einer Rechtsmittelin- stanz aufgehoben worden wäre, noch dass das Verfahren noch hängig wäre. Es ist daher davon auszugehen, dass der Entscheid rechtskräftig geworden ist. Dement- sprechend ist es der Klägerin nicht mehr möglich, erneut eine Schadenersatzklage gegen die Beklagte oder die C._____ AG aufgrund des ihrer Auffassung nach ur- sprünglich nicht wohlwollenden Zeugnisses einzuleiten. Selbst wenn jedoch zu- gunsten der Klägerin davon ausgegangen würde, dass das Urteil des Arbeitsge- richts Genf nicht rechtskräftig ist und ihre Schadenersatzforderung somit nicht be- reits abgeurteilt wurde, ist nicht ersichtlich, inwiefern die verlangte Information ihr bei der Durchsetzung eines solchen Anspruchs dienlich wäre, zumal sich die Klage gegen die damalige Arbeitgeberin der Klägerin zu richten hätte. Der Vollständigkeit halber ist des Weiteren darauf hinzuweisen, dass keine Rechtsgrundlage ersichtlich ist, um direkt gegen den Verfasser des ursprünglichen Arbeitszeugnisses vorzugehen.</w:t>
      </w:r>
    </w:p>
    <w:p>
      <w:r>
        <w:rPr>
          <w:b/>
        </w:rPr>
        <w:t>E. 3.3</w:t>
      </w:r>
    </w:p>
    <w:p>
      <w:r>
        <w:t>Nach dem vorstehend Gesagten kann festgehalten werden, dass es der Klä- gerin nicht gelingt, ein hinreichendes persönliches, aktuelles und praktisches Inter- esse an der gerichtlichen Beurteilung vorzulegen. Aus den Akten geht vielmehr her- vor, dass ihr das Urteil auch im Falle des Obsiegens keinen Nutzen bringen würde. Zudem besteht – wie die Vorinstanz zutreffend festhielt – weder im Arbeitsrecht noch im Datenschutzrecht eine Rechtsgrundlage, welche der Arbeitnehmerin einen</w:t>
      </w:r>
    </w:p>
    <w:p>
      <w:r>
        <w:t>- 14 - Anspruch auf Offenlegung des Verfassers eines Arbeitszeugnisses einräumt. Un- behilflich ist schliesslich auch der Einwand der Klägerin, ein Rechtsschutzinteresse sei entbehrlich, weil das Verhalten der Beklagten im Zusammenhang mit ihrem Ar- beitsverhältnis strafrechtlich relevant sei. Die Klägerin übersieht, dass vorliegend ein zivilrechtliches Verfahren geführt wird und strafrechtliche Bestimmungen keine Anwendung finden.</w:t>
      </w:r>
    </w:p>
    <w:p>
      <w:r>
        <w:rPr>
          <w:b/>
        </w:rPr>
        <w:t>E. 4</w:t>
      </w:r>
    </w:p>
    <w:p>
      <w:r>
        <w:t>Schriftliche Mitteilung an die Parteien, an die Beklagte unter Beilage der Doppel von Urk. 7, 8, 9 und 10/1-15, sowie an die Vorinstanz, je gegen Empfangsschein. Nach unbenutztem Ablauf der Rechtsmittelfrist gehen die erstinstanzlichen Akten an die Vorinstanz zurück.</w:t>
      </w:r>
    </w:p>
    <w:p>
      <w:r>
        <w:rPr>
          <w:b/>
        </w:rPr>
        <w:t>E. 4.1</w:t>
      </w:r>
    </w:p>
    <w:p>
      <w:r>
        <w:t>Abschliessend ist festzustellen, dass die Vorinstanz das Rechtsschutzinter- esse zu Recht verneinte und folglich auf die Klage nicht eintrat. Die Berufung ist somit abzuweisen und der vorinstanzliche Entscheid zu bestätigen. Entsprechend erübrigen sich weitere Ausführungen insbesondere zur Frage, ob die vorliegende Sache – nämlich die Klage auf Offenlegung des Verfassers des ursprünglichen Ar- beitszeugnisses – bereits rechtskräftig entschieden wurde.</w:t>
      </w:r>
    </w:p>
    <w:p>
      <w:r>
        <w:rPr>
          <w:b/>
        </w:rPr>
        <w:t>E. 4.2</w:t>
      </w:r>
    </w:p>
    <w:p>
      <w:r>
        <w:t>Der Vollständigkeit halber ist darauf hinzuweisen, dass die Klägerin aus ihrem Vorbringen, die Verfügung der Vorinstanz sei nichtig, weil die Klagebewilligung des Friedensrichteramts Stadt Zürich, Kreise … und …, ungültig sei, nichts zu ihren Gunsten ableiten kann. Eine gültige Klagebewilligung stellt eine Prozessvorausset- zung dar; deren Fehlen ebenso zu einem Nichteintreten führen würde. V. Das Verfahren ist kostenlos (Art. 114 lit. g ZPO). Für das Berufungsverfahren sind keine Parteientschädigungen zuzusprechen, der Klägerin zufolge Unterliegens (Art. 106 Abs. 1 ZPO) und der Beklagten mangels relevanter Umtriebe (Art. 95 Abs. 3 ZPO). Es wird erkannt: 1. Die Berufung wird abgewiesen und die Verfügung des Arbeitsgerichts Zü- rich, 1. Abteilung, vom 7. Oktober 2025 (AH250107-L) wird bestätigt. 2. Für das Berufungsverfahren werden keine Kosten erhoben.</w:t>
      </w:r>
    </w:p>
    <w:p>
      <w:r>
        <w:t>- 15 - 3. Für das Berufungsverfahren werden keine Parteientschädigungen zugespro- chen.</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 Zürich, 16. Januar 2026 Obergericht des Kantons Zürich I. Zivilkammer Der Vorsitzende: Die Gerichtsschreiberin: lic. iur. A. Huizinga MLaw E. Castelnuovo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